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23" w:rsidRDefault="00E70123" w:rsidP="005D3AAD">
      <w:pPr>
        <w:tabs>
          <w:tab w:val="left" w:pos="2160"/>
        </w:tabs>
        <w:rPr>
          <w:b/>
          <w:bCs/>
          <w:sz w:val="32"/>
          <w:u w:val="single"/>
        </w:rPr>
      </w:pPr>
    </w:p>
    <w:p w:rsidR="00E70123" w:rsidRDefault="00E70123" w:rsidP="005D3AAD">
      <w:pPr>
        <w:rPr>
          <w:b/>
          <w:bCs/>
        </w:rPr>
      </w:pPr>
    </w:p>
    <w:p w:rsidR="00E70123" w:rsidRPr="002B5900" w:rsidRDefault="00E70123" w:rsidP="004F7E48">
      <w:pPr>
        <w:tabs>
          <w:tab w:val="left" w:pos="2268"/>
        </w:tabs>
        <w:rPr>
          <w:rFonts w:cs="Arial"/>
          <w:b/>
          <w:bCs/>
        </w:rPr>
      </w:pPr>
      <w:r>
        <w:rPr>
          <w:rFonts w:cs="Arial"/>
          <w:b/>
          <w:bCs/>
        </w:rPr>
        <w:t>To:</w:t>
      </w:r>
      <w:r>
        <w:rPr>
          <w:rFonts w:cs="Arial"/>
          <w:b/>
          <w:bCs/>
        </w:rPr>
        <w:tab/>
      </w:r>
      <w:r w:rsidR="002B5900" w:rsidRPr="00EB0D62">
        <w:t>Executive Director, City Regeneration</w:t>
      </w:r>
    </w:p>
    <w:p w:rsidR="00E70123" w:rsidRDefault="00E70123" w:rsidP="004F7E48">
      <w:pPr>
        <w:tabs>
          <w:tab w:val="left" w:pos="2268"/>
        </w:tabs>
        <w:rPr>
          <w:rFonts w:cs="Arial"/>
          <w:b/>
          <w:bCs/>
        </w:rPr>
      </w:pPr>
    </w:p>
    <w:p w:rsidR="00E70123" w:rsidRDefault="00E70123" w:rsidP="004F7E48">
      <w:pPr>
        <w:tabs>
          <w:tab w:val="left" w:pos="2268"/>
          <w:tab w:val="left" w:pos="6300"/>
          <w:tab w:val="left" w:pos="7380"/>
        </w:tabs>
        <w:rPr>
          <w:rFonts w:cs="Arial"/>
          <w:b/>
          <w:bCs/>
        </w:rPr>
      </w:pPr>
      <w:r>
        <w:rPr>
          <w:rFonts w:cs="Arial"/>
          <w:b/>
          <w:bCs/>
        </w:rPr>
        <w:t xml:space="preserve">Date: </w:t>
      </w:r>
      <w:r>
        <w:rPr>
          <w:rFonts w:cs="Arial"/>
          <w:b/>
          <w:bCs/>
        </w:rPr>
        <w:tab/>
      </w:r>
      <w:r w:rsidR="007C451F">
        <w:rPr>
          <w:rFonts w:cs="Arial"/>
          <w:bCs/>
        </w:rPr>
        <w:t xml:space="preserve"> </w:t>
      </w:r>
      <w:r w:rsidR="00F25119">
        <w:rPr>
          <w:rFonts w:cs="Arial"/>
          <w:bCs/>
        </w:rPr>
        <w:t>3</w:t>
      </w:r>
      <w:r w:rsidR="0008498D">
        <w:rPr>
          <w:rFonts w:cs="Arial"/>
          <w:bCs/>
        </w:rPr>
        <w:t xml:space="preserve"> </w:t>
      </w:r>
      <w:r w:rsidR="00D26139">
        <w:rPr>
          <w:rFonts w:cs="Arial"/>
          <w:bCs/>
        </w:rPr>
        <w:t xml:space="preserve">December </w:t>
      </w:r>
      <w:r w:rsidR="0008498D">
        <w:rPr>
          <w:rFonts w:cs="Arial"/>
          <w:bCs/>
        </w:rPr>
        <w:t>2014</w:t>
      </w:r>
      <w:r>
        <w:rPr>
          <w:rFonts w:cs="Arial"/>
          <w:b/>
          <w:bCs/>
        </w:rPr>
        <w:tab/>
        <w:t xml:space="preserve"> Item No:   </w:t>
      </w:r>
      <w:r w:rsidR="00CB6D1C">
        <w:rPr>
          <w:rFonts w:cs="Arial"/>
          <w:b/>
          <w:bCs/>
        </w:rPr>
        <w:t>1</w:t>
      </w:r>
      <w:r>
        <w:rPr>
          <w:rFonts w:cs="Arial"/>
          <w:b/>
          <w:bCs/>
        </w:rPr>
        <w:tab/>
      </w:r>
    </w:p>
    <w:p w:rsidR="00E70123" w:rsidRDefault="00E70123" w:rsidP="004F7E48">
      <w:pPr>
        <w:tabs>
          <w:tab w:val="left" w:pos="2268"/>
        </w:tabs>
        <w:jc w:val="right"/>
        <w:rPr>
          <w:rFonts w:cs="Arial"/>
          <w:b/>
          <w:bCs/>
        </w:rPr>
      </w:pPr>
    </w:p>
    <w:p w:rsidR="00E70123" w:rsidRDefault="00E70123" w:rsidP="004F7E48">
      <w:pPr>
        <w:tabs>
          <w:tab w:val="left" w:pos="2268"/>
        </w:tabs>
        <w:rPr>
          <w:rFonts w:cs="Arial"/>
          <w:bCs/>
        </w:rPr>
      </w:pPr>
      <w:r>
        <w:rPr>
          <w:rFonts w:cs="Arial"/>
          <w:b/>
          <w:bCs/>
        </w:rPr>
        <w:t xml:space="preserve">Report </w:t>
      </w:r>
      <w:r w:rsidR="002B5900">
        <w:rPr>
          <w:rFonts w:cs="Arial"/>
          <w:b/>
          <w:bCs/>
        </w:rPr>
        <w:t>from</w:t>
      </w:r>
      <w:r>
        <w:rPr>
          <w:rFonts w:cs="Arial"/>
          <w:b/>
          <w:bCs/>
        </w:rPr>
        <w:t>:</w:t>
      </w:r>
      <w:r>
        <w:rPr>
          <w:rFonts w:cs="Arial"/>
          <w:b/>
          <w:bCs/>
        </w:rPr>
        <w:tab/>
      </w:r>
      <w:r w:rsidR="002B5900">
        <w:rPr>
          <w:rFonts w:cs="Arial"/>
          <w:bCs/>
        </w:rPr>
        <w:t xml:space="preserve">Service Manager, Regeneration and </w:t>
      </w:r>
      <w:r w:rsidR="008C1C5C">
        <w:rPr>
          <w:rFonts w:cs="Arial"/>
          <w:bCs/>
        </w:rPr>
        <w:t>M</w:t>
      </w:r>
      <w:r w:rsidR="002B5900">
        <w:rPr>
          <w:rFonts w:cs="Arial"/>
          <w:bCs/>
        </w:rPr>
        <w:t>ajor Projects</w:t>
      </w:r>
    </w:p>
    <w:p w:rsidR="00E70123" w:rsidRDefault="00E70123" w:rsidP="004F7E48">
      <w:pPr>
        <w:tabs>
          <w:tab w:val="left" w:pos="2268"/>
        </w:tabs>
        <w:rPr>
          <w:rFonts w:cs="Arial"/>
          <w:b/>
          <w:bCs/>
        </w:rPr>
      </w:pPr>
    </w:p>
    <w:p w:rsidR="00E70123" w:rsidRDefault="00E70123" w:rsidP="00882D74">
      <w:pPr>
        <w:tabs>
          <w:tab w:val="left" w:pos="2268"/>
        </w:tabs>
        <w:ind w:left="2250" w:hanging="2250"/>
        <w:jc w:val="both"/>
        <w:rPr>
          <w:rFonts w:cs="Arial"/>
          <w:b/>
          <w:bCs/>
        </w:rPr>
      </w:pPr>
      <w:r>
        <w:rPr>
          <w:rFonts w:cs="Arial"/>
          <w:b/>
          <w:bCs/>
        </w:rPr>
        <w:t xml:space="preserve">Title of Report: </w:t>
      </w:r>
      <w:r w:rsidR="004F7E48">
        <w:rPr>
          <w:rFonts w:cs="Arial"/>
          <w:b/>
          <w:bCs/>
        </w:rPr>
        <w:tab/>
      </w:r>
      <w:r w:rsidR="00882D74">
        <w:rPr>
          <w:rFonts w:cs="Arial"/>
          <w:bCs/>
        </w:rPr>
        <w:t>Westgate Centre and adjoining land - appropriation and acquisition for planning purposes</w:t>
      </w:r>
    </w:p>
    <w:p w:rsidR="00E70123" w:rsidRDefault="00E70123" w:rsidP="005D3AAD">
      <w:pPr>
        <w:pStyle w:val="Heading1"/>
        <w:jc w:val="center"/>
        <w:rPr>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E70123" w:rsidRDefault="00E70123" w:rsidP="005D3AAD">
      <w:pPr>
        <w:pBdr>
          <w:top w:val="single" w:sz="4" w:space="1" w:color="auto"/>
          <w:left w:val="single" w:sz="4" w:space="4" w:color="auto"/>
          <w:bottom w:val="single" w:sz="4" w:space="1" w:color="auto"/>
          <w:right w:val="single" w:sz="4" w:space="4" w:color="auto"/>
        </w:pBdr>
        <w:rPr>
          <w:rFonts w:cs="Arial"/>
        </w:rPr>
      </w:pPr>
    </w:p>
    <w:p w:rsidR="00E70123" w:rsidRPr="005D3AAD" w:rsidRDefault="00E70123" w:rsidP="00BC132F">
      <w:pPr>
        <w:pBdr>
          <w:top w:val="single" w:sz="4" w:space="1" w:color="auto"/>
          <w:left w:val="single" w:sz="4" w:space="4" w:color="auto"/>
          <w:bottom w:val="single" w:sz="4" w:space="1" w:color="auto"/>
          <w:right w:val="single" w:sz="4" w:space="4" w:color="auto"/>
        </w:pBdr>
        <w:tabs>
          <w:tab w:val="left" w:pos="2835"/>
        </w:tabs>
        <w:ind w:left="2835" w:hanging="2835"/>
        <w:rPr>
          <w:rFonts w:cs="Arial"/>
        </w:rPr>
      </w:pPr>
      <w:r>
        <w:rPr>
          <w:rFonts w:cs="Arial"/>
          <w:b/>
          <w:bCs/>
        </w:rPr>
        <w:t>Purpose of report</w:t>
      </w:r>
      <w:r>
        <w:rPr>
          <w:rFonts w:cs="Arial"/>
        </w:rPr>
        <w:t>:</w:t>
      </w:r>
      <w:r>
        <w:rPr>
          <w:rFonts w:cs="Arial"/>
        </w:rPr>
        <w:tab/>
        <w:t xml:space="preserve">To </w:t>
      </w:r>
      <w:r w:rsidR="00FB310F">
        <w:rPr>
          <w:rFonts w:cs="Arial"/>
        </w:rPr>
        <w:t xml:space="preserve">agree in principle that </w:t>
      </w:r>
      <w:r>
        <w:rPr>
          <w:rFonts w:cs="Arial"/>
        </w:rPr>
        <w:t xml:space="preserve">certain Council-owned land </w:t>
      </w:r>
      <w:r w:rsidR="00FB310F">
        <w:rPr>
          <w:rFonts w:cs="Arial"/>
        </w:rPr>
        <w:t xml:space="preserve">at and adjoining the existing Westgate Centre should be appropriated to </w:t>
      </w:r>
      <w:r w:rsidR="0058774D">
        <w:rPr>
          <w:rFonts w:cs="Arial"/>
        </w:rPr>
        <w:t xml:space="preserve">planning purposes in order to </w:t>
      </w:r>
      <w:r w:rsidR="00FB310F">
        <w:rPr>
          <w:rFonts w:cs="Arial"/>
        </w:rPr>
        <w:t xml:space="preserve">facilitate the </w:t>
      </w:r>
      <w:r w:rsidR="00357842">
        <w:rPr>
          <w:rFonts w:cs="Arial"/>
        </w:rPr>
        <w:t xml:space="preserve">redevelopment of the Westgate Centre </w:t>
      </w:r>
      <w:r>
        <w:rPr>
          <w:rFonts w:cs="Arial"/>
        </w:rPr>
        <w:t xml:space="preserve">and </w:t>
      </w:r>
      <w:r w:rsidR="004E300E">
        <w:rPr>
          <w:rFonts w:cs="Arial"/>
        </w:rPr>
        <w:t xml:space="preserve">adjoining land </w:t>
      </w:r>
      <w:r w:rsidR="00DE5769">
        <w:rPr>
          <w:rFonts w:cs="Arial"/>
        </w:rPr>
        <w:t>for retail led mixed use purposes</w:t>
      </w:r>
      <w:r w:rsidR="00FB310F">
        <w:rPr>
          <w:rFonts w:cs="Arial"/>
        </w:rPr>
        <w:t xml:space="preserve">, that such intention to appropriate </w:t>
      </w:r>
      <w:r w:rsidR="007D6DA9">
        <w:rPr>
          <w:rFonts w:cs="Arial"/>
        </w:rPr>
        <w:t xml:space="preserve">in respect of certain areas </w:t>
      </w:r>
      <w:r w:rsidR="00FB310F">
        <w:rPr>
          <w:rFonts w:cs="Arial"/>
        </w:rPr>
        <w:t>should be advertised pursuant to the relevant statutory provisions</w:t>
      </w:r>
      <w:r w:rsidR="007D6DA9">
        <w:rPr>
          <w:rFonts w:cs="Arial"/>
        </w:rPr>
        <w:t xml:space="preserve">, </w:t>
      </w:r>
      <w:r w:rsidR="00FB310F">
        <w:rPr>
          <w:rFonts w:cs="Arial"/>
        </w:rPr>
        <w:t xml:space="preserve">to authorise such </w:t>
      </w:r>
      <w:r>
        <w:rPr>
          <w:rFonts w:cs="Arial"/>
        </w:rPr>
        <w:t>advertise</w:t>
      </w:r>
      <w:r w:rsidR="00FB310F">
        <w:rPr>
          <w:rFonts w:cs="Arial"/>
        </w:rPr>
        <w:t>ment</w:t>
      </w:r>
      <w:r w:rsidR="0058774D">
        <w:rPr>
          <w:rFonts w:cs="Arial"/>
        </w:rPr>
        <w:t>,</w:t>
      </w:r>
      <w:r w:rsidR="00FB310F">
        <w:rPr>
          <w:rFonts w:cs="Arial"/>
        </w:rPr>
        <w:t xml:space="preserve"> and further to confirm that land currently owned by the Westgate Oxford Alliance Limited Partnership and to be </w:t>
      </w:r>
      <w:r w:rsidR="0058774D">
        <w:rPr>
          <w:rFonts w:cs="Arial"/>
        </w:rPr>
        <w:t xml:space="preserve">acquired by </w:t>
      </w:r>
      <w:r w:rsidR="00FB310F">
        <w:rPr>
          <w:rFonts w:cs="Arial"/>
        </w:rPr>
        <w:t xml:space="preserve">the Council and leased back </w:t>
      </w:r>
      <w:r w:rsidR="0058774D">
        <w:rPr>
          <w:rFonts w:cs="Arial"/>
        </w:rPr>
        <w:t xml:space="preserve">to WOALP </w:t>
      </w:r>
      <w:r w:rsidR="00FB310F">
        <w:rPr>
          <w:rFonts w:cs="Arial"/>
        </w:rPr>
        <w:t xml:space="preserve">pursuant to the existing development agreement </w:t>
      </w:r>
      <w:r w:rsidR="0058774D">
        <w:rPr>
          <w:rFonts w:cs="Arial"/>
        </w:rPr>
        <w:t xml:space="preserve">will be </w:t>
      </w:r>
      <w:r w:rsidR="00FB310F">
        <w:rPr>
          <w:rFonts w:cs="Arial"/>
        </w:rPr>
        <w:t xml:space="preserve"> acquired </w:t>
      </w:r>
      <w:r w:rsidR="0058774D">
        <w:rPr>
          <w:rFonts w:cs="Arial"/>
        </w:rPr>
        <w:t xml:space="preserve">by the Council </w:t>
      </w:r>
      <w:r w:rsidR="00FB310F">
        <w:rPr>
          <w:rFonts w:cs="Arial"/>
        </w:rPr>
        <w:t>for planning purposes pursuant to s227 of the Town and Country Plan</w:t>
      </w:r>
      <w:r w:rsidR="0058774D">
        <w:rPr>
          <w:rFonts w:cs="Arial"/>
        </w:rPr>
        <w:t>n</w:t>
      </w:r>
      <w:r w:rsidR="00FB310F">
        <w:rPr>
          <w:rFonts w:cs="Arial"/>
        </w:rPr>
        <w:t>ing Act 1990</w:t>
      </w:r>
      <w:r>
        <w:rPr>
          <w:rFonts w:cs="Arial"/>
        </w:rPr>
        <w:t>.</w:t>
      </w:r>
    </w:p>
    <w:p w:rsidR="00E70123"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p>
    <w:p w:rsidR="00E70123" w:rsidRDefault="00E70123" w:rsidP="005D3AAD">
      <w:pPr>
        <w:pStyle w:val="Heading1"/>
        <w:pBdr>
          <w:top w:val="single" w:sz="4" w:space="1" w:color="auto"/>
          <w:left w:val="single" w:sz="4" w:space="4" w:color="auto"/>
          <w:bottom w:val="single" w:sz="4" w:space="1" w:color="auto"/>
          <w:right w:val="single" w:sz="4" w:space="4" w:color="auto"/>
        </w:pBdr>
        <w:tabs>
          <w:tab w:val="left" w:pos="3062"/>
        </w:tabs>
        <w:ind w:left="2880" w:hanging="2880"/>
        <w:rPr>
          <w:bCs w:val="0"/>
        </w:rPr>
      </w:pPr>
      <w:proofErr w:type="gramStart"/>
      <w:r>
        <w:rPr>
          <w:bCs w:val="0"/>
        </w:rPr>
        <w:t>Key decision?</w:t>
      </w:r>
      <w:proofErr w:type="gramEnd"/>
      <w:r>
        <w:rPr>
          <w:bCs w:val="0"/>
        </w:rPr>
        <w:tab/>
      </w:r>
      <w:r>
        <w:rPr>
          <w:b w:val="0"/>
        </w:rPr>
        <w:t>No</w:t>
      </w:r>
    </w:p>
    <w:p w:rsidR="00E70123" w:rsidRPr="00F719C6"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p>
    <w:p w:rsidR="00E70123" w:rsidRPr="00F719C6"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r w:rsidRPr="00F719C6">
        <w:rPr>
          <w:rFonts w:cs="Arial"/>
          <w:b/>
          <w:bCs/>
        </w:rPr>
        <w:t>Executive lead member:</w:t>
      </w:r>
      <w:r w:rsidRPr="00F719C6">
        <w:rPr>
          <w:rFonts w:cs="Arial"/>
          <w:b/>
          <w:bCs/>
        </w:rPr>
        <w:tab/>
      </w:r>
      <w:r w:rsidRPr="00F719C6">
        <w:rPr>
          <w:rFonts w:cs="Arial"/>
        </w:rPr>
        <w:t>Councillor Ed Turner</w:t>
      </w:r>
    </w:p>
    <w:p w:rsidR="00E70123" w:rsidRPr="00B608A5" w:rsidRDefault="00E70123" w:rsidP="005D3AAD">
      <w:pPr>
        <w:pBdr>
          <w:top w:val="single" w:sz="4" w:space="1" w:color="auto"/>
          <w:left w:val="single" w:sz="4" w:space="4" w:color="auto"/>
          <w:bottom w:val="single" w:sz="4" w:space="1" w:color="auto"/>
          <w:right w:val="single" w:sz="4" w:space="4" w:color="auto"/>
        </w:pBdr>
        <w:tabs>
          <w:tab w:val="left" w:pos="2880"/>
        </w:tabs>
        <w:rPr>
          <w:rFonts w:cs="Arial"/>
        </w:rPr>
      </w:pPr>
    </w:p>
    <w:p w:rsidR="00E70123" w:rsidRDefault="00E70123" w:rsidP="005D3AAD">
      <w:pPr>
        <w:ind w:left="720" w:hanging="720"/>
        <w:rPr>
          <w:bCs/>
          <w:u w:val="single"/>
        </w:rPr>
      </w:pPr>
    </w:p>
    <w:p w:rsidR="00E70123" w:rsidRDefault="00E70123" w:rsidP="005D3AAD">
      <w:pPr>
        <w:ind w:left="720" w:hanging="720"/>
        <w:rPr>
          <w:bCs/>
          <w:u w:val="single"/>
        </w:rPr>
      </w:pPr>
      <w:r>
        <w:rPr>
          <w:b/>
          <w:bCs/>
          <w:u w:val="single"/>
        </w:rPr>
        <w:t>Policy Framework:</w:t>
      </w:r>
    </w:p>
    <w:p w:rsidR="00E70123" w:rsidRDefault="00E70123" w:rsidP="005D3AAD">
      <w:pPr>
        <w:ind w:left="720" w:hanging="720"/>
        <w:rPr>
          <w:bCs/>
          <w:u w:val="single"/>
        </w:rPr>
      </w:pPr>
    </w:p>
    <w:p w:rsidR="00E70123" w:rsidRPr="0081685B" w:rsidRDefault="00E70123" w:rsidP="0081685B">
      <w:pPr>
        <w:pStyle w:val="ListParagraph"/>
        <w:numPr>
          <w:ilvl w:val="0"/>
          <w:numId w:val="8"/>
        </w:numPr>
        <w:tabs>
          <w:tab w:val="left" w:pos="426"/>
        </w:tabs>
        <w:ind w:hanging="720"/>
        <w:rPr>
          <w:bCs/>
        </w:rPr>
      </w:pPr>
      <w:r w:rsidRPr="0081685B">
        <w:rPr>
          <w:bCs/>
        </w:rPr>
        <w:t>Meeting housing need</w:t>
      </w:r>
    </w:p>
    <w:p w:rsidR="00E70123" w:rsidRPr="0081685B" w:rsidRDefault="00E70123" w:rsidP="005D3AAD">
      <w:pPr>
        <w:numPr>
          <w:ilvl w:val="0"/>
          <w:numId w:val="1"/>
        </w:numPr>
        <w:tabs>
          <w:tab w:val="clear" w:pos="720"/>
          <w:tab w:val="num" w:pos="360"/>
        </w:tabs>
        <w:ind w:left="360"/>
        <w:rPr>
          <w:bCs/>
        </w:rPr>
      </w:pPr>
      <w:r w:rsidRPr="0081685B">
        <w:rPr>
          <w:bCs/>
        </w:rPr>
        <w:t>Stronger and active communities</w:t>
      </w:r>
    </w:p>
    <w:p w:rsidR="00E70123" w:rsidRPr="0081685B" w:rsidRDefault="00E70123" w:rsidP="005D3AAD">
      <w:pPr>
        <w:numPr>
          <w:ilvl w:val="0"/>
          <w:numId w:val="1"/>
        </w:numPr>
        <w:tabs>
          <w:tab w:val="clear" w:pos="720"/>
          <w:tab w:val="num" w:pos="360"/>
        </w:tabs>
        <w:ind w:left="360"/>
        <w:rPr>
          <w:bCs/>
        </w:rPr>
      </w:pPr>
      <w:r w:rsidRPr="0081685B">
        <w:rPr>
          <w:bCs/>
        </w:rPr>
        <w:t>A vibrant and sustainable economy</w:t>
      </w:r>
    </w:p>
    <w:p w:rsidR="00E70123" w:rsidRPr="0081685B" w:rsidRDefault="00F25119" w:rsidP="005D3AAD">
      <w:pPr>
        <w:numPr>
          <w:ilvl w:val="0"/>
          <w:numId w:val="1"/>
        </w:numPr>
        <w:tabs>
          <w:tab w:val="clear" w:pos="720"/>
          <w:tab w:val="num" w:pos="360"/>
        </w:tabs>
        <w:ind w:left="360"/>
        <w:rPr>
          <w:bCs/>
        </w:rPr>
      </w:pPr>
      <w:r>
        <w:rPr>
          <w:bCs/>
        </w:rPr>
        <w:t>Cleaner G</w:t>
      </w:r>
      <w:r w:rsidR="00E70123" w:rsidRPr="0081685B">
        <w:rPr>
          <w:bCs/>
        </w:rPr>
        <w:t>reener Oxford</w:t>
      </w:r>
    </w:p>
    <w:p w:rsidR="00E70123" w:rsidRDefault="00E70123" w:rsidP="005D3AAD">
      <w:pPr>
        <w:numPr>
          <w:ilvl w:val="0"/>
          <w:numId w:val="1"/>
        </w:numPr>
        <w:tabs>
          <w:tab w:val="clear" w:pos="720"/>
          <w:tab w:val="num" w:pos="360"/>
        </w:tabs>
        <w:ind w:left="360"/>
        <w:rPr>
          <w:bCs/>
        </w:rPr>
      </w:pPr>
      <w:r w:rsidRPr="0081685B">
        <w:rPr>
          <w:bCs/>
        </w:rPr>
        <w:t>A Regeneration Framework for Oxford to 2026</w:t>
      </w:r>
    </w:p>
    <w:p w:rsidR="00DE5769" w:rsidRDefault="00F25119" w:rsidP="005D3AAD">
      <w:pPr>
        <w:numPr>
          <w:ilvl w:val="0"/>
          <w:numId w:val="1"/>
        </w:numPr>
        <w:tabs>
          <w:tab w:val="clear" w:pos="720"/>
          <w:tab w:val="num" w:pos="360"/>
        </w:tabs>
        <w:ind w:left="360"/>
        <w:rPr>
          <w:bCs/>
        </w:rPr>
      </w:pPr>
      <w:r>
        <w:rPr>
          <w:bCs/>
        </w:rPr>
        <w:t xml:space="preserve">Oxford Core Strategy </w:t>
      </w:r>
      <w:r w:rsidR="00DE5769">
        <w:rPr>
          <w:bCs/>
        </w:rPr>
        <w:t>2026</w:t>
      </w:r>
    </w:p>
    <w:p w:rsidR="00DE5769" w:rsidRDefault="00DE5769" w:rsidP="005D3AAD">
      <w:pPr>
        <w:numPr>
          <w:ilvl w:val="0"/>
          <w:numId w:val="1"/>
        </w:numPr>
        <w:tabs>
          <w:tab w:val="clear" w:pos="720"/>
          <w:tab w:val="num" w:pos="360"/>
        </w:tabs>
        <w:ind w:left="360"/>
        <w:rPr>
          <w:bCs/>
        </w:rPr>
      </w:pPr>
      <w:r>
        <w:rPr>
          <w:bCs/>
        </w:rPr>
        <w:t>West End Area Action Plan 2007-2016</w:t>
      </w:r>
    </w:p>
    <w:p w:rsidR="00DE5769" w:rsidRDefault="00DE5769" w:rsidP="005D3AAD">
      <w:pPr>
        <w:numPr>
          <w:ilvl w:val="0"/>
          <w:numId w:val="1"/>
        </w:numPr>
        <w:tabs>
          <w:tab w:val="clear" w:pos="720"/>
          <w:tab w:val="num" w:pos="360"/>
        </w:tabs>
        <w:ind w:left="360"/>
        <w:rPr>
          <w:bCs/>
        </w:rPr>
      </w:pPr>
      <w:r>
        <w:rPr>
          <w:bCs/>
        </w:rPr>
        <w:t>Oxford Local Plan 2001-2016</w:t>
      </w:r>
    </w:p>
    <w:p w:rsidR="00DE5769" w:rsidRPr="0081685B" w:rsidRDefault="00DE5769" w:rsidP="005D3AAD">
      <w:pPr>
        <w:numPr>
          <w:ilvl w:val="0"/>
          <w:numId w:val="1"/>
        </w:numPr>
        <w:tabs>
          <w:tab w:val="clear" w:pos="720"/>
          <w:tab w:val="num" w:pos="360"/>
        </w:tabs>
        <w:ind w:left="360"/>
        <w:rPr>
          <w:bCs/>
        </w:rPr>
      </w:pPr>
      <w:r>
        <w:rPr>
          <w:bCs/>
        </w:rPr>
        <w:t>Oxford Sites and Housing Plan 2013</w:t>
      </w:r>
    </w:p>
    <w:p w:rsidR="00E70123" w:rsidRPr="0081685B" w:rsidRDefault="00E70123" w:rsidP="005D3AAD">
      <w:pPr>
        <w:numPr>
          <w:ilvl w:val="0"/>
          <w:numId w:val="1"/>
        </w:numPr>
        <w:tabs>
          <w:tab w:val="clear" w:pos="720"/>
          <w:tab w:val="num" w:pos="360"/>
        </w:tabs>
        <w:ind w:left="360"/>
        <w:rPr>
          <w:bCs/>
        </w:rPr>
      </w:pPr>
      <w:r w:rsidRPr="0081685B">
        <w:rPr>
          <w:bCs/>
        </w:rPr>
        <w:t>Oxfordshire Local Investment Plan</w:t>
      </w:r>
    </w:p>
    <w:p w:rsidR="00E70123" w:rsidRPr="00DB65BE" w:rsidRDefault="00E70123" w:rsidP="00497D91">
      <w:pPr>
        <w:ind w:left="360"/>
        <w:rPr>
          <w:bCs/>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p>
    <w:p w:rsidR="00E70123" w:rsidRPr="00DB65BE" w:rsidRDefault="00E70123" w:rsidP="005D3AAD">
      <w:pPr>
        <w:pStyle w:val="Heading1"/>
        <w:pBdr>
          <w:top w:val="single" w:sz="4" w:space="1" w:color="auto"/>
          <w:left w:val="single" w:sz="4" w:space="4" w:color="auto"/>
          <w:bottom w:val="single" w:sz="4" w:space="1" w:color="auto"/>
          <w:right w:val="single" w:sz="4" w:space="4" w:color="auto"/>
        </w:pBdr>
      </w:pPr>
      <w:r w:rsidRPr="00DB65BE">
        <w:t>Recommendation</w:t>
      </w:r>
      <w:r>
        <w:t>(</w:t>
      </w:r>
      <w:r w:rsidRPr="00DB65BE">
        <w:t>s</w:t>
      </w:r>
      <w:r>
        <w:t>)</w:t>
      </w:r>
    </w:p>
    <w:p w:rsidR="00E70123" w:rsidRDefault="00E70123" w:rsidP="005D3AAD">
      <w:pPr>
        <w:pBdr>
          <w:top w:val="single" w:sz="4" w:space="1" w:color="auto"/>
          <w:left w:val="single" w:sz="4" w:space="4" w:color="auto"/>
          <w:bottom w:val="single" w:sz="4" w:space="1" w:color="auto"/>
          <w:right w:val="single" w:sz="4" w:space="4" w:color="auto"/>
        </w:pBdr>
        <w:rPr>
          <w:rFonts w:cs="Arial"/>
        </w:rPr>
      </w:pPr>
    </w:p>
    <w:p w:rsidR="00B8416B" w:rsidRDefault="000029BD"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r>
        <w:rPr>
          <w:rFonts w:cs="Arial"/>
          <w:b/>
        </w:rPr>
        <w:t>(a)</w:t>
      </w:r>
      <w:r w:rsidR="00503985">
        <w:rPr>
          <w:rFonts w:cs="Arial"/>
          <w:b/>
        </w:rPr>
        <w:tab/>
      </w:r>
      <w:r w:rsidR="0058774D">
        <w:rPr>
          <w:rFonts w:cs="Arial"/>
          <w:b/>
        </w:rPr>
        <w:t xml:space="preserve">To agree in principle that </w:t>
      </w:r>
      <w:r w:rsidR="003A2A33">
        <w:rPr>
          <w:rFonts w:cs="Arial"/>
          <w:b/>
        </w:rPr>
        <w:t xml:space="preserve">the </w:t>
      </w:r>
      <w:r w:rsidR="00E70123" w:rsidRPr="00A9446D">
        <w:rPr>
          <w:rFonts w:cs="Arial"/>
          <w:b/>
        </w:rPr>
        <w:t>area of</w:t>
      </w:r>
      <w:r w:rsidR="00E70123">
        <w:rPr>
          <w:rFonts w:cs="Arial"/>
          <w:b/>
        </w:rPr>
        <w:t xml:space="preserve"> Council owned land </w:t>
      </w:r>
      <w:r w:rsidR="003A2A33">
        <w:rPr>
          <w:rFonts w:cs="Arial"/>
          <w:b/>
        </w:rPr>
        <w:t xml:space="preserve">shown as Area B on </w:t>
      </w:r>
      <w:r w:rsidR="00E70123" w:rsidRPr="00A9446D">
        <w:rPr>
          <w:rFonts w:cs="Arial"/>
          <w:b/>
        </w:rPr>
        <w:t xml:space="preserve">the plan </w:t>
      </w:r>
      <w:r w:rsidR="003A2A33">
        <w:rPr>
          <w:rFonts w:cs="Arial"/>
          <w:b/>
        </w:rPr>
        <w:t xml:space="preserve">at Appendix 1 to this Report </w:t>
      </w:r>
      <w:r w:rsidR="00503985">
        <w:rPr>
          <w:rFonts w:cs="Arial"/>
          <w:b/>
        </w:rPr>
        <w:t xml:space="preserve">should </w:t>
      </w:r>
      <w:r w:rsidR="00E70123" w:rsidRPr="00A9446D">
        <w:rPr>
          <w:rFonts w:cs="Arial"/>
          <w:b/>
        </w:rPr>
        <w:t>be appropriat</w:t>
      </w:r>
      <w:r w:rsidR="00503985">
        <w:rPr>
          <w:rFonts w:cs="Arial"/>
          <w:b/>
        </w:rPr>
        <w:t xml:space="preserve">ed </w:t>
      </w:r>
      <w:r w:rsidR="00CD492A" w:rsidRPr="00CD492A">
        <w:rPr>
          <w:rFonts w:cs="Arial"/>
          <w:b/>
        </w:rPr>
        <w:t>in accordance with Section 122 of the Local Government Act 1972</w:t>
      </w:r>
      <w:r w:rsidR="00CD492A">
        <w:rPr>
          <w:rFonts w:cs="Arial"/>
          <w:b/>
        </w:rPr>
        <w:t xml:space="preserve"> </w:t>
      </w:r>
      <w:r w:rsidR="00EC33AB">
        <w:rPr>
          <w:rFonts w:cs="Arial"/>
          <w:b/>
        </w:rPr>
        <w:t>from general municipal purpo</w:t>
      </w:r>
      <w:r w:rsidR="00503985">
        <w:rPr>
          <w:rFonts w:cs="Arial"/>
          <w:b/>
        </w:rPr>
        <w:t xml:space="preserve">ses </w:t>
      </w:r>
      <w:r w:rsidR="00CD492A">
        <w:rPr>
          <w:rFonts w:cs="Arial"/>
          <w:b/>
        </w:rPr>
        <w:t>to planning purposes</w:t>
      </w:r>
      <w:r w:rsidR="00B8416B">
        <w:rPr>
          <w:rFonts w:cs="Arial"/>
          <w:b/>
        </w:rPr>
        <w:t>;</w:t>
      </w:r>
    </w:p>
    <w:p w:rsidR="00B8416B" w:rsidRDefault="00B8416B"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p>
    <w:p w:rsidR="007D6DA9" w:rsidRDefault="00B8416B"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r>
        <w:rPr>
          <w:rFonts w:cs="Arial"/>
          <w:b/>
        </w:rPr>
        <w:t>(b)</w:t>
      </w:r>
      <w:r>
        <w:rPr>
          <w:rFonts w:cs="Arial"/>
          <w:b/>
        </w:rPr>
        <w:tab/>
        <w:t xml:space="preserve">That </w:t>
      </w:r>
      <w:r w:rsidR="00503985">
        <w:rPr>
          <w:rFonts w:cs="Arial"/>
          <w:b/>
        </w:rPr>
        <w:t xml:space="preserve">prior </w:t>
      </w:r>
      <w:r>
        <w:rPr>
          <w:rFonts w:cs="Arial"/>
          <w:b/>
        </w:rPr>
        <w:t xml:space="preserve">to any final decision being made in respect of such appropriation, the Council advertises its </w:t>
      </w:r>
      <w:r w:rsidR="00E70123" w:rsidRPr="00A9446D">
        <w:rPr>
          <w:rFonts w:cs="Arial"/>
          <w:b/>
        </w:rPr>
        <w:t xml:space="preserve">intention to appropriate </w:t>
      </w:r>
      <w:r>
        <w:rPr>
          <w:rFonts w:cs="Arial"/>
          <w:b/>
        </w:rPr>
        <w:t xml:space="preserve">pursuant to the requirements of </w:t>
      </w:r>
      <w:r w:rsidR="00503985">
        <w:rPr>
          <w:rFonts w:cs="Arial"/>
          <w:b/>
        </w:rPr>
        <w:t>Section 122 of the 1972 Act</w:t>
      </w:r>
      <w:r w:rsidR="00B012F9">
        <w:rPr>
          <w:rFonts w:cs="Arial"/>
          <w:b/>
        </w:rPr>
        <w:t xml:space="preserve"> </w:t>
      </w:r>
      <w:r w:rsidR="00DB23A0">
        <w:rPr>
          <w:rFonts w:cs="Arial"/>
          <w:b/>
        </w:rPr>
        <w:t>(advertisement in the local press for two consecutive weeks)</w:t>
      </w:r>
      <w:r>
        <w:rPr>
          <w:rFonts w:cs="Arial"/>
          <w:b/>
        </w:rPr>
        <w:t xml:space="preserve"> in respect of the areas </w:t>
      </w:r>
      <w:r w:rsidR="000C7F2B">
        <w:rPr>
          <w:rFonts w:cs="Arial"/>
          <w:b/>
        </w:rPr>
        <w:t xml:space="preserve">within Area B shown hatched black on </w:t>
      </w:r>
      <w:r>
        <w:rPr>
          <w:rFonts w:cs="Arial"/>
          <w:b/>
        </w:rPr>
        <w:t>the plan at Appendix 1</w:t>
      </w:r>
      <w:r w:rsidR="007D6DA9">
        <w:rPr>
          <w:rFonts w:cs="Arial"/>
          <w:b/>
        </w:rPr>
        <w:t>;</w:t>
      </w:r>
    </w:p>
    <w:p w:rsidR="00B8416B" w:rsidRDefault="00B8416B"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p>
    <w:p w:rsidR="00B8416B" w:rsidRDefault="00B8416B"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r>
        <w:rPr>
          <w:rFonts w:cs="Arial"/>
          <w:b/>
        </w:rPr>
        <w:t>(c)</w:t>
      </w:r>
      <w:r>
        <w:rPr>
          <w:rFonts w:cs="Arial"/>
          <w:b/>
        </w:rPr>
        <w:tab/>
      </w:r>
      <w:proofErr w:type="gramStart"/>
      <w:r w:rsidRPr="00B8416B">
        <w:rPr>
          <w:rFonts w:cs="Arial"/>
          <w:b/>
        </w:rPr>
        <w:t>that</w:t>
      </w:r>
      <w:proofErr w:type="gramEnd"/>
      <w:r w:rsidRPr="00B8416B">
        <w:rPr>
          <w:rFonts w:cs="Arial"/>
          <w:b/>
        </w:rPr>
        <w:t xml:space="preserve"> the placing of the necessary advertisements as referred to above be authorised and undertaken</w:t>
      </w:r>
      <w:r w:rsidR="00CD492A">
        <w:rPr>
          <w:rFonts w:cs="Arial"/>
          <w:b/>
        </w:rPr>
        <w:t>;</w:t>
      </w:r>
    </w:p>
    <w:p w:rsidR="007D6DA9" w:rsidRDefault="007D6DA9"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p>
    <w:p w:rsidR="00E70123" w:rsidRDefault="007D6DA9" w:rsidP="00B8416B">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r>
        <w:rPr>
          <w:rFonts w:cs="Arial"/>
          <w:b/>
        </w:rPr>
        <w:t>(</w:t>
      </w:r>
      <w:r w:rsidR="00B8416B">
        <w:rPr>
          <w:rFonts w:cs="Arial"/>
          <w:b/>
        </w:rPr>
        <w:t>d</w:t>
      </w:r>
      <w:r>
        <w:rPr>
          <w:rFonts w:cs="Arial"/>
          <w:b/>
        </w:rPr>
        <w:t>)</w:t>
      </w:r>
      <w:r>
        <w:rPr>
          <w:rFonts w:cs="Arial"/>
          <w:b/>
        </w:rPr>
        <w:tab/>
      </w:r>
      <w:r w:rsidR="00B012F9">
        <w:rPr>
          <w:rFonts w:cs="Arial"/>
          <w:b/>
        </w:rPr>
        <w:t xml:space="preserve">that </w:t>
      </w:r>
      <w:r>
        <w:rPr>
          <w:rFonts w:cs="Arial"/>
          <w:b/>
        </w:rPr>
        <w:t xml:space="preserve">following the period of advertisement, an updated report is submitted for final decision in relation to </w:t>
      </w:r>
      <w:r w:rsidR="00B012F9" w:rsidRPr="00B012F9">
        <w:rPr>
          <w:rFonts w:cs="Arial"/>
          <w:b/>
        </w:rPr>
        <w:t xml:space="preserve">the appropriation </w:t>
      </w:r>
      <w:r w:rsidR="0058774D">
        <w:rPr>
          <w:rFonts w:cs="Arial"/>
          <w:b/>
        </w:rPr>
        <w:t xml:space="preserve">of Area B </w:t>
      </w:r>
      <w:r>
        <w:rPr>
          <w:rFonts w:cs="Arial"/>
          <w:b/>
        </w:rPr>
        <w:t>h</w:t>
      </w:r>
      <w:r w:rsidR="00B012F9" w:rsidRPr="00B012F9">
        <w:rPr>
          <w:rFonts w:cs="Arial"/>
          <w:b/>
        </w:rPr>
        <w:t xml:space="preserve">aving regard to any objections and other representations received pursuant to </w:t>
      </w:r>
      <w:r w:rsidR="00DB23A0">
        <w:rPr>
          <w:rFonts w:cs="Arial"/>
          <w:b/>
        </w:rPr>
        <w:t xml:space="preserve">such </w:t>
      </w:r>
      <w:r w:rsidR="00B012F9" w:rsidRPr="00B012F9">
        <w:rPr>
          <w:rFonts w:cs="Arial"/>
          <w:b/>
        </w:rPr>
        <w:t>advertisement</w:t>
      </w:r>
      <w:r w:rsidR="00DB23A0">
        <w:rPr>
          <w:rFonts w:cs="Arial"/>
          <w:b/>
        </w:rPr>
        <w:t>;</w:t>
      </w:r>
      <w:r w:rsidR="00B8416B">
        <w:rPr>
          <w:rFonts w:cs="Arial"/>
          <w:b/>
        </w:rPr>
        <w:t xml:space="preserve"> and</w:t>
      </w:r>
    </w:p>
    <w:p w:rsidR="000029BD" w:rsidRDefault="000029BD" w:rsidP="000029BD">
      <w:pPr>
        <w:pBdr>
          <w:top w:val="single" w:sz="4" w:space="1" w:color="auto"/>
          <w:left w:val="single" w:sz="4" w:space="4" w:color="auto"/>
          <w:bottom w:val="single" w:sz="4" w:space="1" w:color="auto"/>
          <w:right w:val="single" w:sz="4" w:space="4" w:color="auto"/>
        </w:pBdr>
        <w:tabs>
          <w:tab w:val="left" w:pos="3048"/>
        </w:tabs>
        <w:ind w:left="360" w:hanging="360"/>
        <w:jc w:val="both"/>
        <w:rPr>
          <w:rFonts w:cs="Arial"/>
          <w:b/>
        </w:rPr>
      </w:pPr>
    </w:p>
    <w:p w:rsidR="00E70123" w:rsidRPr="00B8416B" w:rsidRDefault="00FB310F" w:rsidP="00B8416B">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rPr>
      </w:pPr>
      <w:r>
        <w:rPr>
          <w:rFonts w:cs="Arial"/>
          <w:b/>
        </w:rPr>
        <w:t>(</w:t>
      </w:r>
      <w:r w:rsidR="00B8416B">
        <w:rPr>
          <w:rFonts w:cs="Arial"/>
          <w:b/>
        </w:rPr>
        <w:t>e</w:t>
      </w:r>
      <w:r w:rsidR="000029BD">
        <w:rPr>
          <w:rFonts w:cs="Arial"/>
          <w:b/>
        </w:rPr>
        <w:t xml:space="preserve">) </w:t>
      </w:r>
      <w:r w:rsidR="00503985">
        <w:rPr>
          <w:rFonts w:cs="Arial"/>
          <w:b/>
        </w:rPr>
        <w:tab/>
      </w:r>
      <w:r w:rsidR="00DB23A0">
        <w:rPr>
          <w:rFonts w:cs="Arial"/>
          <w:b/>
        </w:rPr>
        <w:t xml:space="preserve">that </w:t>
      </w:r>
      <w:r w:rsidR="00503985">
        <w:rPr>
          <w:rFonts w:cs="Arial"/>
          <w:b/>
        </w:rPr>
        <w:t xml:space="preserve">it </w:t>
      </w:r>
      <w:r w:rsidR="00B012F9">
        <w:rPr>
          <w:rFonts w:cs="Arial"/>
          <w:b/>
        </w:rPr>
        <w:t>is c</w:t>
      </w:r>
      <w:r w:rsidR="000029BD">
        <w:rPr>
          <w:rFonts w:cs="Arial"/>
          <w:b/>
        </w:rPr>
        <w:t xml:space="preserve">onfirmed that the freehold interest in </w:t>
      </w:r>
      <w:r w:rsidR="003A2A33">
        <w:rPr>
          <w:rFonts w:cs="Arial"/>
          <w:b/>
        </w:rPr>
        <w:t xml:space="preserve">the </w:t>
      </w:r>
      <w:r w:rsidR="000029BD">
        <w:rPr>
          <w:rFonts w:cs="Arial"/>
          <w:b/>
        </w:rPr>
        <w:t xml:space="preserve">land </w:t>
      </w:r>
      <w:r w:rsidR="003A2A33" w:rsidRPr="003A2A33">
        <w:rPr>
          <w:rFonts w:cs="Arial"/>
          <w:b/>
        </w:rPr>
        <w:t xml:space="preserve">shown as Area C on the plan at Appendix 1 to this Report </w:t>
      </w:r>
      <w:r w:rsidR="003A2A33">
        <w:rPr>
          <w:rFonts w:cs="Arial"/>
          <w:b/>
        </w:rPr>
        <w:t>(</w:t>
      </w:r>
      <w:r w:rsidR="000029BD">
        <w:rPr>
          <w:rFonts w:cs="Arial"/>
          <w:b/>
        </w:rPr>
        <w:t>currently owned by Westgate Oxford Alliance Limited Partnership</w:t>
      </w:r>
      <w:r w:rsidR="003A2A33">
        <w:rPr>
          <w:rFonts w:cs="Arial"/>
          <w:b/>
        </w:rPr>
        <w:t xml:space="preserve"> and </w:t>
      </w:r>
      <w:r w:rsidR="000029BD">
        <w:rPr>
          <w:rFonts w:cs="Arial"/>
          <w:b/>
        </w:rPr>
        <w:t xml:space="preserve">to be transferred to the Council </w:t>
      </w:r>
      <w:r w:rsidR="003A2A33">
        <w:rPr>
          <w:rFonts w:cs="Arial"/>
          <w:b/>
        </w:rPr>
        <w:t xml:space="preserve">and leased to WOALP </w:t>
      </w:r>
      <w:r w:rsidR="000029BD">
        <w:rPr>
          <w:rFonts w:cs="Arial"/>
          <w:b/>
        </w:rPr>
        <w:t xml:space="preserve">pursuant to the development agreement of </w:t>
      </w:r>
      <w:r w:rsidR="003A2A33">
        <w:rPr>
          <w:rFonts w:cs="Arial"/>
          <w:b/>
        </w:rPr>
        <w:t xml:space="preserve">14 </w:t>
      </w:r>
      <w:r w:rsidR="000029BD">
        <w:rPr>
          <w:rFonts w:cs="Arial"/>
          <w:b/>
        </w:rPr>
        <w:t>May 2013</w:t>
      </w:r>
      <w:r w:rsidR="003A2A33">
        <w:rPr>
          <w:rFonts w:cs="Arial"/>
          <w:b/>
        </w:rPr>
        <w:t>),</w:t>
      </w:r>
      <w:r w:rsidR="000029BD">
        <w:rPr>
          <w:rFonts w:cs="Arial"/>
          <w:b/>
        </w:rPr>
        <w:t xml:space="preserve"> </w:t>
      </w:r>
      <w:r w:rsidR="003A2A33">
        <w:rPr>
          <w:rFonts w:cs="Arial"/>
          <w:b/>
        </w:rPr>
        <w:t xml:space="preserve">is to </w:t>
      </w:r>
      <w:r w:rsidR="000029BD">
        <w:rPr>
          <w:rFonts w:cs="Arial"/>
          <w:b/>
        </w:rPr>
        <w:t xml:space="preserve">be </w:t>
      </w:r>
      <w:r w:rsidR="003A2A33">
        <w:rPr>
          <w:rFonts w:cs="Arial"/>
          <w:b/>
        </w:rPr>
        <w:t xml:space="preserve">acquired by the Council for planning purposes pursuant to Section 227 of the Town and Country Planning Act 1990. </w:t>
      </w:r>
    </w:p>
    <w:p w:rsidR="000029BD" w:rsidRDefault="000029BD" w:rsidP="00A9446D">
      <w:pPr>
        <w:tabs>
          <w:tab w:val="left" w:pos="567"/>
        </w:tabs>
        <w:rPr>
          <w:bCs/>
          <w:u w:val="single"/>
        </w:rPr>
      </w:pPr>
    </w:p>
    <w:p w:rsidR="000029BD" w:rsidRPr="002E17B2" w:rsidRDefault="000029BD" w:rsidP="00A9446D">
      <w:pPr>
        <w:tabs>
          <w:tab w:val="left" w:pos="567"/>
        </w:tabs>
        <w:rPr>
          <w:bCs/>
          <w:u w:val="single"/>
        </w:rPr>
      </w:pPr>
    </w:p>
    <w:p w:rsidR="00E70123" w:rsidRPr="002E17B2" w:rsidRDefault="00E70123" w:rsidP="005D3AAD">
      <w:pPr>
        <w:jc w:val="both"/>
        <w:rPr>
          <w:rFonts w:cs="Arial"/>
        </w:rPr>
      </w:pPr>
      <w:r w:rsidRPr="002E17B2">
        <w:rPr>
          <w:rFonts w:cs="Arial"/>
          <w:b/>
        </w:rPr>
        <w:t>Background</w:t>
      </w:r>
    </w:p>
    <w:p w:rsidR="00E70123" w:rsidRPr="002E17B2" w:rsidRDefault="00E70123" w:rsidP="005D3AAD">
      <w:pPr>
        <w:jc w:val="both"/>
        <w:rPr>
          <w:rFonts w:cs="Arial"/>
        </w:rPr>
      </w:pPr>
    </w:p>
    <w:p w:rsidR="00882D74" w:rsidRPr="00882D74" w:rsidRDefault="000B7D52" w:rsidP="00882D74">
      <w:pPr>
        <w:numPr>
          <w:ilvl w:val="0"/>
          <w:numId w:val="5"/>
        </w:numPr>
        <w:autoSpaceDE w:val="0"/>
        <w:autoSpaceDN w:val="0"/>
        <w:adjustRightInd w:val="0"/>
        <w:jc w:val="both"/>
        <w:rPr>
          <w:rFonts w:ascii="TT1D92o00" w:eastAsia="Calibri" w:hAnsi="TT1D92o00" w:cs="TT1D92o00"/>
          <w:lang w:eastAsia="en-GB"/>
        </w:rPr>
      </w:pPr>
      <w:r w:rsidRPr="008257A8">
        <w:rPr>
          <w:rFonts w:ascii="TT1D92o00" w:eastAsia="Calibri" w:hAnsi="TT1D92o00" w:cs="TT1D92o00"/>
          <w:lang w:eastAsia="en-GB"/>
        </w:rPr>
        <w:t xml:space="preserve">The </w:t>
      </w:r>
      <w:r w:rsidR="00013A49" w:rsidRPr="008257A8">
        <w:rPr>
          <w:rFonts w:ascii="TT1D92o00" w:eastAsia="Calibri" w:hAnsi="TT1D92o00" w:cs="TT1D92o00"/>
          <w:lang w:eastAsia="en-GB"/>
        </w:rPr>
        <w:t xml:space="preserve">existing Westgate Shopping Centre and adjoining land shown edged red on the </w:t>
      </w:r>
      <w:r w:rsidRPr="008257A8">
        <w:rPr>
          <w:rFonts w:ascii="TT1D92o00" w:eastAsia="Calibri" w:hAnsi="TT1D92o00" w:cs="TT1D92o00"/>
          <w:lang w:eastAsia="en-GB"/>
        </w:rPr>
        <w:t xml:space="preserve">plan </w:t>
      </w:r>
      <w:r w:rsidR="000C7F2B">
        <w:rPr>
          <w:rFonts w:ascii="TT1D92o00" w:eastAsia="Calibri" w:hAnsi="TT1D92o00" w:cs="TT1D92o00"/>
          <w:lang w:eastAsia="en-GB"/>
        </w:rPr>
        <w:t xml:space="preserve">attached </w:t>
      </w:r>
      <w:r w:rsidR="003B3F60" w:rsidRPr="008257A8">
        <w:rPr>
          <w:rFonts w:ascii="TT1D92o00" w:eastAsia="Calibri" w:hAnsi="TT1D92o00" w:cs="TT1D92o00"/>
          <w:lang w:eastAsia="en-GB"/>
        </w:rPr>
        <w:t xml:space="preserve">at </w:t>
      </w:r>
      <w:r w:rsidR="00A656B4" w:rsidRPr="000331B2">
        <w:rPr>
          <w:rFonts w:ascii="TT1D92o00" w:eastAsia="Calibri" w:hAnsi="TT1D92o00" w:cs="TT1D92o00"/>
          <w:b/>
          <w:lang w:eastAsia="en-GB"/>
        </w:rPr>
        <w:t>Appendix</w:t>
      </w:r>
      <w:r w:rsidR="00A656B4" w:rsidRPr="008257A8">
        <w:rPr>
          <w:rFonts w:ascii="TT1D92o00" w:eastAsia="Calibri" w:hAnsi="TT1D92o00" w:cs="TT1D92o00"/>
          <w:lang w:eastAsia="en-GB"/>
        </w:rPr>
        <w:t xml:space="preserve"> </w:t>
      </w:r>
      <w:r w:rsidR="00A656B4" w:rsidRPr="000331B2">
        <w:rPr>
          <w:rFonts w:ascii="TT1D92o00" w:eastAsia="Calibri" w:hAnsi="TT1D92o00" w:cs="TT1D92o00"/>
          <w:b/>
          <w:lang w:eastAsia="en-GB"/>
        </w:rPr>
        <w:t>1</w:t>
      </w:r>
      <w:r w:rsidR="00013A49" w:rsidRPr="008257A8">
        <w:rPr>
          <w:rFonts w:ascii="TT1D92o00" w:eastAsia="Calibri" w:hAnsi="TT1D92o00" w:cs="TT1D92o00"/>
          <w:lang w:eastAsia="en-GB"/>
        </w:rPr>
        <w:t xml:space="preserve"> </w:t>
      </w:r>
      <w:r w:rsidR="000C7F2B">
        <w:rPr>
          <w:rFonts w:ascii="TT1D92o00" w:eastAsia="Calibri" w:hAnsi="TT1D92o00" w:cs="TT1D92o00"/>
          <w:lang w:eastAsia="en-GB"/>
        </w:rPr>
        <w:t xml:space="preserve">and marked ‘Extent of Appropriation’ (the Appropriation Plan) </w:t>
      </w:r>
      <w:r w:rsidR="00EC33AB" w:rsidRPr="008257A8">
        <w:rPr>
          <w:rFonts w:ascii="TT1D92o00" w:eastAsia="Calibri" w:hAnsi="TT1D92o00" w:cs="TT1D92o00"/>
          <w:lang w:eastAsia="en-GB"/>
        </w:rPr>
        <w:t xml:space="preserve">is </w:t>
      </w:r>
      <w:r w:rsidR="00D07921" w:rsidRPr="008257A8">
        <w:rPr>
          <w:rFonts w:ascii="TT1D92o00" w:eastAsia="Calibri" w:hAnsi="TT1D92o00" w:cs="TT1D92o00"/>
          <w:lang w:eastAsia="en-GB"/>
        </w:rPr>
        <w:t>proposed for re-development</w:t>
      </w:r>
      <w:r w:rsidR="008257A8" w:rsidRPr="008257A8">
        <w:rPr>
          <w:rFonts w:ascii="TT1D92o00" w:eastAsia="Calibri" w:hAnsi="TT1D92o00" w:cs="TT1D92o00"/>
          <w:lang w:eastAsia="en-GB"/>
        </w:rPr>
        <w:t xml:space="preserve"> for mixed-use</w:t>
      </w:r>
      <w:r w:rsidR="000C7F2B">
        <w:rPr>
          <w:rFonts w:ascii="TT1D92o00" w:eastAsia="Calibri" w:hAnsi="TT1D92o00" w:cs="TT1D92o00"/>
          <w:lang w:eastAsia="en-GB"/>
        </w:rPr>
        <w:t>,</w:t>
      </w:r>
      <w:r w:rsidR="008257A8" w:rsidRPr="008257A8">
        <w:rPr>
          <w:rFonts w:ascii="TT1D92o00" w:eastAsia="Calibri" w:hAnsi="TT1D92o00" w:cs="TT1D92o00"/>
          <w:lang w:eastAsia="en-GB"/>
        </w:rPr>
        <w:t xml:space="preserve"> retail led purposes.</w:t>
      </w:r>
      <w:r w:rsidR="00882D74">
        <w:rPr>
          <w:rFonts w:ascii="TT1D92o00" w:eastAsia="Calibri" w:hAnsi="TT1D92o00" w:cs="TT1D92o00"/>
          <w:lang w:eastAsia="en-GB"/>
        </w:rPr>
        <w:t xml:space="preserve">  </w:t>
      </w:r>
      <w:r w:rsidR="000C7F2B">
        <w:rPr>
          <w:rFonts w:ascii="TT1D92o00" w:eastAsia="Calibri" w:hAnsi="TT1D92o00" w:cs="TT1D92o00"/>
          <w:lang w:eastAsia="en-GB"/>
        </w:rPr>
        <w:t xml:space="preserve">References in this report to the Site are to the area edged red on the </w:t>
      </w:r>
      <w:r w:rsidR="00076AF9">
        <w:rPr>
          <w:rFonts w:ascii="TT1D92o00" w:eastAsia="Calibri" w:hAnsi="TT1D92o00" w:cs="TT1D92o00"/>
          <w:lang w:eastAsia="en-GB"/>
        </w:rPr>
        <w:t xml:space="preserve">Appropriation </w:t>
      </w:r>
      <w:r w:rsidR="000C7F2B">
        <w:rPr>
          <w:rFonts w:ascii="TT1D92o00" w:eastAsia="Calibri" w:hAnsi="TT1D92o00" w:cs="TT1D92o00"/>
          <w:lang w:eastAsia="en-GB"/>
        </w:rPr>
        <w:t xml:space="preserve">Plan.  </w:t>
      </w:r>
      <w:r w:rsidR="0098069E">
        <w:rPr>
          <w:rFonts w:ascii="TT1D92o00" w:eastAsia="Calibri" w:hAnsi="TT1D92o00" w:cs="TT1D92o00"/>
          <w:lang w:eastAsia="en-GB"/>
        </w:rPr>
        <w:t>T</w:t>
      </w:r>
      <w:r w:rsidR="00882D74" w:rsidRPr="00882D74">
        <w:rPr>
          <w:rFonts w:ascii="TT1D92o00" w:eastAsia="Calibri" w:hAnsi="TT1D92o00" w:cs="TT1D92o00"/>
          <w:lang w:eastAsia="en-GB"/>
        </w:rPr>
        <w:t>he Council owns the freehold of the majority of the Site with certain interests (freehold and l</w:t>
      </w:r>
      <w:r w:rsidR="00882D74">
        <w:rPr>
          <w:rFonts w:ascii="TT1D92o00" w:eastAsia="Calibri" w:hAnsi="TT1D92o00" w:cs="TT1D92o00"/>
          <w:lang w:eastAsia="en-GB"/>
        </w:rPr>
        <w:t xml:space="preserve">easehold) being held by </w:t>
      </w:r>
      <w:r w:rsidR="00882D74" w:rsidRPr="00882D74">
        <w:rPr>
          <w:rFonts w:ascii="TT1D92o00" w:eastAsia="Calibri" w:hAnsi="TT1D92o00" w:cs="TT1D92o00"/>
          <w:lang w:eastAsia="en-GB"/>
        </w:rPr>
        <w:t>Westgate Oxford Alliance Limited Partnership (WOALP)</w:t>
      </w:r>
      <w:r w:rsidR="00882D74">
        <w:rPr>
          <w:rFonts w:ascii="TT1D92o00" w:eastAsia="Calibri" w:hAnsi="TT1D92o00" w:cs="TT1D92o00"/>
          <w:lang w:eastAsia="en-GB"/>
        </w:rPr>
        <w:t xml:space="preserve">, </w:t>
      </w:r>
      <w:r w:rsidR="00882D74" w:rsidRPr="00882D74">
        <w:rPr>
          <w:rFonts w:ascii="TT1D92o00" w:eastAsia="Calibri" w:hAnsi="TT1D92o00" w:cs="TT1D92o00"/>
          <w:lang w:eastAsia="en-GB"/>
        </w:rPr>
        <w:t>a joint venture between Land Securities Group and the Crown Estate</w:t>
      </w:r>
      <w:r w:rsidR="00882D74">
        <w:rPr>
          <w:rFonts w:ascii="TT1D92o00" w:eastAsia="Calibri" w:hAnsi="TT1D92o00" w:cs="TT1D92o00"/>
          <w:lang w:eastAsia="en-GB"/>
        </w:rPr>
        <w:t xml:space="preserve">. </w:t>
      </w:r>
    </w:p>
    <w:p w:rsidR="00882D74" w:rsidRDefault="00882D74" w:rsidP="00882D74">
      <w:pPr>
        <w:autoSpaceDE w:val="0"/>
        <w:autoSpaceDN w:val="0"/>
        <w:adjustRightInd w:val="0"/>
        <w:ind w:left="680"/>
        <w:jc w:val="both"/>
        <w:rPr>
          <w:rFonts w:ascii="TT1D92o00" w:eastAsia="Calibri" w:hAnsi="TT1D92o00" w:cs="TT1D92o00"/>
          <w:lang w:eastAsia="en-GB"/>
        </w:rPr>
      </w:pPr>
    </w:p>
    <w:p w:rsidR="00C51A50" w:rsidRDefault="006860F5" w:rsidP="008E0C7C">
      <w:pPr>
        <w:numPr>
          <w:ilvl w:val="0"/>
          <w:numId w:val="5"/>
        </w:numPr>
        <w:autoSpaceDE w:val="0"/>
        <w:autoSpaceDN w:val="0"/>
        <w:adjustRightInd w:val="0"/>
        <w:jc w:val="both"/>
        <w:rPr>
          <w:rFonts w:ascii="TT1D92o00" w:eastAsia="Calibri" w:hAnsi="TT1D92o00" w:cs="TT1D92o00"/>
          <w:lang w:eastAsia="en-GB"/>
        </w:rPr>
      </w:pPr>
      <w:r w:rsidRPr="008257A8">
        <w:rPr>
          <w:rFonts w:ascii="TT1D92o00" w:eastAsia="Calibri" w:hAnsi="TT1D92o00" w:cs="TT1D92o00"/>
          <w:lang w:eastAsia="en-GB"/>
        </w:rPr>
        <w:t>In May 2013, t</w:t>
      </w:r>
      <w:r w:rsidR="00416398" w:rsidRPr="008257A8">
        <w:rPr>
          <w:rFonts w:ascii="TT1D92o00" w:eastAsia="Calibri" w:hAnsi="TT1D92o00" w:cs="TT1D92o00"/>
          <w:lang w:eastAsia="en-GB"/>
        </w:rPr>
        <w:t xml:space="preserve">he Council entered into a Development Agreement with </w:t>
      </w:r>
      <w:r w:rsidR="008E0C7C" w:rsidRPr="008E0C7C">
        <w:rPr>
          <w:rFonts w:ascii="TT1D92o00" w:eastAsia="Calibri" w:hAnsi="TT1D92o00" w:cs="TT1D92o00"/>
          <w:lang w:eastAsia="en-GB"/>
        </w:rPr>
        <w:t>WOALP</w:t>
      </w:r>
      <w:r w:rsidR="00882D74">
        <w:rPr>
          <w:rFonts w:ascii="TT1D92o00" w:eastAsia="Calibri" w:hAnsi="TT1D92o00" w:cs="TT1D92o00"/>
          <w:lang w:eastAsia="en-GB"/>
        </w:rPr>
        <w:t xml:space="preserve"> </w:t>
      </w:r>
      <w:r w:rsidR="008E0C7C">
        <w:rPr>
          <w:rFonts w:ascii="TT1D92o00" w:eastAsia="Calibri" w:hAnsi="TT1D92o00" w:cs="TT1D92o00"/>
          <w:lang w:eastAsia="en-GB"/>
        </w:rPr>
        <w:t xml:space="preserve">in </w:t>
      </w:r>
      <w:r w:rsidR="0098069E">
        <w:rPr>
          <w:rFonts w:ascii="TT1D92o00" w:eastAsia="Calibri" w:hAnsi="TT1D92o00" w:cs="TT1D92o00"/>
          <w:lang w:eastAsia="en-GB"/>
        </w:rPr>
        <w:t xml:space="preserve">respect of the proposed </w:t>
      </w:r>
      <w:r w:rsidR="00416398" w:rsidRPr="008257A8">
        <w:rPr>
          <w:rFonts w:ascii="TT1D92o00" w:eastAsia="Calibri" w:hAnsi="TT1D92o00" w:cs="TT1D92o00"/>
          <w:lang w:eastAsia="en-GB"/>
        </w:rPr>
        <w:t>re-development</w:t>
      </w:r>
      <w:r w:rsidR="00F25119">
        <w:rPr>
          <w:rFonts w:ascii="TT1D92o00" w:eastAsia="Calibri" w:hAnsi="TT1D92o00" w:cs="TT1D92o00"/>
          <w:lang w:eastAsia="en-GB"/>
        </w:rPr>
        <w:t xml:space="preserve"> </w:t>
      </w:r>
      <w:r w:rsidR="00835A5E">
        <w:rPr>
          <w:rFonts w:ascii="TT1D92o00" w:eastAsia="Calibri" w:hAnsi="TT1D92o00" w:cs="TT1D92o00"/>
          <w:lang w:eastAsia="en-GB"/>
        </w:rPr>
        <w:t>o</w:t>
      </w:r>
      <w:r w:rsidR="00F25119">
        <w:rPr>
          <w:rFonts w:ascii="TT1D92o00" w:eastAsia="Calibri" w:hAnsi="TT1D92o00" w:cs="TT1D92o00"/>
          <w:lang w:eastAsia="en-GB"/>
        </w:rPr>
        <w:t xml:space="preserve">f the </w:t>
      </w:r>
      <w:r w:rsidR="00835A5E">
        <w:rPr>
          <w:rFonts w:ascii="TT1D92o00" w:eastAsia="Calibri" w:hAnsi="TT1D92o00" w:cs="TT1D92o00"/>
          <w:lang w:eastAsia="en-GB"/>
        </w:rPr>
        <w:t>Westgate Shopping Centre</w:t>
      </w:r>
      <w:r w:rsidR="0098069E">
        <w:rPr>
          <w:rFonts w:ascii="TT1D92o00" w:eastAsia="Calibri" w:hAnsi="TT1D92o00" w:cs="TT1D92o00"/>
          <w:lang w:eastAsia="en-GB"/>
        </w:rPr>
        <w:t xml:space="preserve">. </w:t>
      </w:r>
      <w:r w:rsidR="00835A5E">
        <w:rPr>
          <w:rFonts w:ascii="TT1D92o00" w:eastAsia="Calibri" w:hAnsi="TT1D92o00" w:cs="TT1D92o00"/>
          <w:lang w:eastAsia="en-GB"/>
        </w:rPr>
        <w:t>Outline p</w:t>
      </w:r>
      <w:r w:rsidR="008257A8">
        <w:rPr>
          <w:rFonts w:ascii="TT1D92o00" w:eastAsia="Calibri" w:hAnsi="TT1D92o00" w:cs="TT1D92o00"/>
          <w:lang w:eastAsia="en-GB"/>
        </w:rPr>
        <w:t xml:space="preserve">lanning permission for the re-development was granted </w:t>
      </w:r>
      <w:r w:rsidR="00B8416B">
        <w:rPr>
          <w:rFonts w:ascii="TT1D92o00" w:eastAsia="Calibri" w:hAnsi="TT1D92o00" w:cs="TT1D92o00"/>
          <w:lang w:eastAsia="en-GB"/>
        </w:rPr>
        <w:t>o</w:t>
      </w:r>
      <w:r w:rsidR="008257A8">
        <w:rPr>
          <w:rFonts w:ascii="TT1D92o00" w:eastAsia="Calibri" w:hAnsi="TT1D92o00" w:cs="TT1D92o00"/>
          <w:lang w:eastAsia="en-GB"/>
        </w:rPr>
        <w:t xml:space="preserve">n </w:t>
      </w:r>
      <w:r w:rsidR="00F25119">
        <w:rPr>
          <w:rFonts w:ascii="TT1D92o00" w:eastAsia="Calibri" w:hAnsi="TT1D92o00" w:cs="TT1D92o00"/>
          <w:lang w:eastAsia="en-GB"/>
        </w:rPr>
        <w:t xml:space="preserve">16 </w:t>
      </w:r>
      <w:r w:rsidR="008257A8">
        <w:rPr>
          <w:rFonts w:ascii="TT1D92o00" w:eastAsia="Calibri" w:hAnsi="TT1D92o00" w:cs="TT1D92o00"/>
          <w:lang w:eastAsia="en-GB"/>
        </w:rPr>
        <w:t xml:space="preserve">October 2014 (see below). </w:t>
      </w:r>
    </w:p>
    <w:p w:rsidR="008257A8" w:rsidRDefault="008257A8" w:rsidP="008257A8">
      <w:pPr>
        <w:autoSpaceDE w:val="0"/>
        <w:autoSpaceDN w:val="0"/>
        <w:adjustRightInd w:val="0"/>
        <w:jc w:val="both"/>
        <w:rPr>
          <w:rFonts w:ascii="TT1D92o00" w:eastAsia="Calibri" w:hAnsi="TT1D92o00" w:cs="TT1D92o00"/>
          <w:lang w:eastAsia="en-GB"/>
        </w:rPr>
      </w:pPr>
    </w:p>
    <w:p w:rsidR="00C51A50" w:rsidRDefault="00E87401" w:rsidP="00924B3E">
      <w:pPr>
        <w:numPr>
          <w:ilvl w:val="0"/>
          <w:numId w:val="5"/>
        </w:numPr>
        <w:autoSpaceDE w:val="0"/>
        <w:autoSpaceDN w:val="0"/>
        <w:adjustRightInd w:val="0"/>
        <w:jc w:val="both"/>
        <w:rPr>
          <w:rFonts w:ascii="TT1D92o00" w:eastAsia="Calibri" w:hAnsi="TT1D92o00" w:cs="TT1D92o00"/>
          <w:lang w:eastAsia="en-GB"/>
        </w:rPr>
      </w:pPr>
      <w:r>
        <w:rPr>
          <w:rFonts w:ascii="TT1D92o00" w:eastAsia="Calibri" w:hAnsi="TT1D92o00" w:cs="TT1D92o00"/>
          <w:lang w:eastAsia="en-GB"/>
        </w:rPr>
        <w:lastRenderedPageBreak/>
        <w:t xml:space="preserve">The Site is within the St </w:t>
      </w:r>
      <w:proofErr w:type="spellStart"/>
      <w:r>
        <w:rPr>
          <w:rFonts w:ascii="TT1D92o00" w:eastAsia="Calibri" w:hAnsi="TT1D92o00" w:cs="TT1D92o00"/>
          <w:lang w:eastAsia="en-GB"/>
        </w:rPr>
        <w:t>Ebbes</w:t>
      </w:r>
      <w:proofErr w:type="spellEnd"/>
      <w:r>
        <w:rPr>
          <w:rFonts w:ascii="TT1D92o00" w:eastAsia="Calibri" w:hAnsi="TT1D92o00" w:cs="TT1D92o00"/>
          <w:lang w:eastAsia="en-GB"/>
        </w:rPr>
        <w:t xml:space="preserve"> </w:t>
      </w:r>
      <w:r w:rsidR="00F25119">
        <w:rPr>
          <w:rFonts w:ascii="TT1D92o00" w:eastAsia="Calibri" w:hAnsi="TT1D92o00" w:cs="TT1D92o00"/>
          <w:lang w:eastAsia="en-GB"/>
        </w:rPr>
        <w:t>a</w:t>
      </w:r>
      <w:r>
        <w:rPr>
          <w:rFonts w:ascii="TT1D92o00" w:eastAsia="Calibri" w:hAnsi="TT1D92o00" w:cs="TT1D92o00"/>
          <w:lang w:eastAsia="en-GB"/>
        </w:rPr>
        <w:t>rea of the City</w:t>
      </w:r>
      <w:r w:rsidR="00F25119">
        <w:rPr>
          <w:rFonts w:ascii="TT1D92o00" w:eastAsia="Calibri" w:hAnsi="TT1D92o00" w:cs="TT1D92o00"/>
          <w:lang w:eastAsia="en-GB"/>
        </w:rPr>
        <w:t xml:space="preserve"> within </w:t>
      </w:r>
      <w:proofErr w:type="spellStart"/>
      <w:r w:rsidR="00F25119">
        <w:rPr>
          <w:rFonts w:ascii="TT1D92o00" w:eastAsia="Calibri" w:hAnsi="TT1D92o00" w:cs="TT1D92o00"/>
          <w:lang w:eastAsia="en-GB"/>
        </w:rPr>
        <w:t>Carfax</w:t>
      </w:r>
      <w:proofErr w:type="spellEnd"/>
      <w:r w:rsidR="00F25119">
        <w:rPr>
          <w:rFonts w:ascii="TT1D92o00" w:eastAsia="Calibri" w:hAnsi="TT1D92o00" w:cs="TT1D92o00"/>
          <w:lang w:eastAsia="en-GB"/>
        </w:rPr>
        <w:t xml:space="preserve"> Ward</w:t>
      </w:r>
      <w:r>
        <w:rPr>
          <w:rFonts w:ascii="TT1D92o00" w:eastAsia="Calibri" w:hAnsi="TT1D92o00" w:cs="TT1D92o00"/>
          <w:lang w:eastAsia="en-GB"/>
        </w:rPr>
        <w:t>.  I</w:t>
      </w:r>
      <w:r w:rsidR="006860F5">
        <w:rPr>
          <w:rFonts w:ascii="TT1D92o00" w:eastAsia="Calibri" w:hAnsi="TT1D92o00" w:cs="TT1D92o00"/>
          <w:lang w:eastAsia="en-GB"/>
        </w:rPr>
        <w:t>n the 1960s</w:t>
      </w:r>
      <w:r>
        <w:rPr>
          <w:rFonts w:ascii="TT1D92o00" w:eastAsia="Calibri" w:hAnsi="TT1D92o00" w:cs="TT1D92o00"/>
          <w:lang w:eastAsia="en-GB"/>
        </w:rPr>
        <w:t>,</w:t>
      </w:r>
      <w:r w:rsidR="006860F5">
        <w:rPr>
          <w:rFonts w:ascii="TT1D92o00" w:eastAsia="Calibri" w:hAnsi="TT1D92o00" w:cs="TT1D92o00"/>
          <w:lang w:eastAsia="en-GB"/>
        </w:rPr>
        <w:t xml:space="preserve"> </w:t>
      </w:r>
      <w:r w:rsidR="00416398">
        <w:rPr>
          <w:rFonts w:ascii="TT1D92o00" w:eastAsia="Calibri" w:hAnsi="TT1D92o00" w:cs="TT1D92o00"/>
          <w:lang w:eastAsia="en-GB"/>
        </w:rPr>
        <w:t xml:space="preserve">the </w:t>
      </w:r>
      <w:r>
        <w:rPr>
          <w:rFonts w:ascii="TT1D92o00" w:eastAsia="Calibri" w:hAnsi="TT1D92o00" w:cs="TT1D92o00"/>
          <w:lang w:eastAsia="en-GB"/>
        </w:rPr>
        <w:t xml:space="preserve">area </w:t>
      </w:r>
      <w:r w:rsidR="00013A49">
        <w:rPr>
          <w:rFonts w:ascii="TT1D92o00" w:eastAsia="Calibri" w:hAnsi="TT1D92o00" w:cs="TT1D92o00"/>
          <w:lang w:eastAsia="en-GB"/>
        </w:rPr>
        <w:t xml:space="preserve">was designated </w:t>
      </w:r>
      <w:r w:rsidR="00332CE1">
        <w:rPr>
          <w:rFonts w:ascii="TT1D92o00" w:eastAsia="Calibri" w:hAnsi="TT1D92o00" w:cs="TT1D92o00"/>
          <w:lang w:eastAsia="en-GB"/>
        </w:rPr>
        <w:t xml:space="preserve">by the Council as </w:t>
      </w:r>
      <w:r w:rsidR="00013A49">
        <w:rPr>
          <w:rFonts w:ascii="TT1D92o00" w:eastAsia="Calibri" w:hAnsi="TT1D92o00" w:cs="TT1D92o00"/>
          <w:lang w:eastAsia="en-GB"/>
        </w:rPr>
        <w:t xml:space="preserve">a </w:t>
      </w:r>
      <w:r w:rsidR="00013A49" w:rsidRPr="00013A49">
        <w:rPr>
          <w:rFonts w:ascii="TT1D92o00" w:eastAsia="Calibri" w:hAnsi="TT1D92o00" w:cs="TT1D92o00"/>
          <w:lang w:eastAsia="en-GB"/>
        </w:rPr>
        <w:t>Comprehensive Development Area</w:t>
      </w:r>
      <w:r w:rsidR="00416398">
        <w:rPr>
          <w:rFonts w:ascii="TT1D92o00" w:eastAsia="Calibri" w:hAnsi="TT1D92o00" w:cs="TT1D92o00"/>
          <w:lang w:eastAsia="en-GB"/>
        </w:rPr>
        <w:t xml:space="preserve"> and </w:t>
      </w:r>
      <w:r w:rsidR="006860F5">
        <w:rPr>
          <w:rFonts w:ascii="TT1D92o00" w:eastAsia="Calibri" w:hAnsi="TT1D92o00" w:cs="TT1D92o00"/>
          <w:lang w:eastAsia="en-GB"/>
        </w:rPr>
        <w:t xml:space="preserve">was </w:t>
      </w:r>
      <w:r w:rsidR="00416398">
        <w:rPr>
          <w:rFonts w:ascii="TT1D92o00" w:eastAsia="Calibri" w:hAnsi="TT1D92o00" w:cs="TT1D92o00"/>
          <w:lang w:eastAsia="en-GB"/>
        </w:rPr>
        <w:t xml:space="preserve">subject to </w:t>
      </w:r>
      <w:r w:rsidR="006860F5">
        <w:rPr>
          <w:rFonts w:ascii="TT1D92o00" w:eastAsia="Calibri" w:hAnsi="TT1D92o00" w:cs="TT1D92o00"/>
          <w:lang w:eastAsia="en-GB"/>
        </w:rPr>
        <w:t xml:space="preserve">extensive </w:t>
      </w:r>
      <w:r w:rsidR="00416398">
        <w:rPr>
          <w:rFonts w:ascii="TT1D92o00" w:eastAsia="Calibri" w:hAnsi="TT1D92o00" w:cs="TT1D92o00"/>
          <w:lang w:eastAsia="en-GB"/>
        </w:rPr>
        <w:t>clearance</w:t>
      </w:r>
      <w:r w:rsidR="006860F5">
        <w:rPr>
          <w:rFonts w:ascii="TT1D92o00" w:eastAsia="Calibri" w:hAnsi="TT1D92o00" w:cs="TT1D92o00"/>
          <w:lang w:eastAsia="en-GB"/>
        </w:rPr>
        <w:t xml:space="preserve">.  </w:t>
      </w:r>
      <w:r w:rsidR="003D3D85">
        <w:rPr>
          <w:rFonts w:ascii="TT1D92o00" w:eastAsia="Calibri" w:hAnsi="TT1D92o00" w:cs="TT1D92o00"/>
          <w:lang w:eastAsia="en-GB"/>
        </w:rPr>
        <w:t>The Council</w:t>
      </w:r>
      <w:r>
        <w:rPr>
          <w:rFonts w:ascii="TT1D92o00" w:eastAsia="Calibri" w:hAnsi="TT1D92o00" w:cs="TT1D92o00"/>
          <w:lang w:eastAsia="en-GB"/>
        </w:rPr>
        <w:t xml:space="preserve"> already owned land within the </w:t>
      </w:r>
      <w:r w:rsidR="00A10176">
        <w:rPr>
          <w:rFonts w:ascii="TT1D92o00" w:eastAsia="Calibri" w:hAnsi="TT1D92o00" w:cs="TT1D92o00"/>
          <w:lang w:eastAsia="en-GB"/>
        </w:rPr>
        <w:t xml:space="preserve">area </w:t>
      </w:r>
      <w:r>
        <w:rPr>
          <w:rFonts w:ascii="TT1D92o00" w:eastAsia="Calibri" w:hAnsi="TT1D92o00" w:cs="TT1D92o00"/>
          <w:lang w:eastAsia="en-GB"/>
        </w:rPr>
        <w:t xml:space="preserve">and acquired more </w:t>
      </w:r>
      <w:r w:rsidR="00A10176">
        <w:rPr>
          <w:rFonts w:ascii="TT1D92o00" w:eastAsia="Calibri" w:hAnsi="TT1D92o00" w:cs="TT1D92o00"/>
          <w:lang w:eastAsia="en-GB"/>
        </w:rPr>
        <w:t xml:space="preserve">land </w:t>
      </w:r>
      <w:r>
        <w:rPr>
          <w:rFonts w:ascii="TT1D92o00" w:eastAsia="Calibri" w:hAnsi="TT1D92o00" w:cs="TT1D92o00"/>
          <w:lang w:eastAsia="en-GB"/>
        </w:rPr>
        <w:t xml:space="preserve">to facilitate the re-development drive. </w:t>
      </w:r>
      <w:r w:rsidR="00924B3E">
        <w:rPr>
          <w:rFonts w:ascii="TT1D92o00" w:eastAsia="Calibri" w:hAnsi="TT1D92o00" w:cs="TT1D92o00"/>
          <w:lang w:eastAsia="en-GB"/>
        </w:rPr>
        <w:t xml:space="preserve"> </w:t>
      </w:r>
      <w:r w:rsidR="00924B3E" w:rsidRPr="00924B3E">
        <w:rPr>
          <w:rFonts w:ascii="TT1D92o00" w:eastAsia="Calibri" w:hAnsi="TT1D92o00" w:cs="TT1D92o00"/>
          <w:lang w:eastAsia="en-GB"/>
        </w:rPr>
        <w:t xml:space="preserve">The existing shopping centre and multi-storey car park was completed in </w:t>
      </w:r>
      <w:r w:rsidR="00F25119">
        <w:rPr>
          <w:rFonts w:ascii="TT1D92o00" w:eastAsia="Calibri" w:hAnsi="TT1D92o00" w:cs="TT1D92o00"/>
          <w:lang w:eastAsia="en-GB"/>
        </w:rPr>
        <w:t>1972</w:t>
      </w:r>
      <w:r w:rsidR="00924B3E" w:rsidRPr="00924B3E">
        <w:rPr>
          <w:rFonts w:ascii="TT1D92o00" w:eastAsia="Calibri" w:hAnsi="TT1D92o00" w:cs="TT1D92o00"/>
          <w:lang w:eastAsia="en-GB"/>
        </w:rPr>
        <w:t xml:space="preserve"> and was originally managed by the Council until </w:t>
      </w:r>
      <w:r w:rsidR="00F25119">
        <w:rPr>
          <w:rFonts w:ascii="TT1D92o00" w:eastAsia="Calibri" w:hAnsi="TT1D92o00" w:cs="TT1D92o00"/>
          <w:lang w:eastAsia="en-GB"/>
        </w:rPr>
        <w:t>3 March 1986</w:t>
      </w:r>
      <w:r w:rsidR="00924B3E" w:rsidRPr="00924B3E">
        <w:rPr>
          <w:rFonts w:ascii="TT1D92o00" w:eastAsia="Calibri" w:hAnsi="TT1D92o00" w:cs="TT1D92o00"/>
          <w:lang w:eastAsia="en-GB"/>
        </w:rPr>
        <w:t xml:space="preserve"> when a long lease was granted to </w:t>
      </w:r>
      <w:r w:rsidR="00F25119">
        <w:rPr>
          <w:rFonts w:ascii="TT1D92o00" w:eastAsia="Calibri" w:hAnsi="TT1D92o00" w:cs="TT1D92o00"/>
          <w:lang w:eastAsia="en-GB"/>
        </w:rPr>
        <w:t>CIN Properties Limited</w:t>
      </w:r>
      <w:r w:rsidR="00924B3E" w:rsidRPr="00924B3E">
        <w:rPr>
          <w:rFonts w:ascii="TT1D92o00" w:eastAsia="Calibri" w:hAnsi="TT1D92o00" w:cs="TT1D92o00"/>
          <w:lang w:eastAsia="en-GB"/>
        </w:rPr>
        <w:t xml:space="preserve">.  That lease is now vested in the </w:t>
      </w:r>
      <w:r w:rsidR="00835A5E">
        <w:rPr>
          <w:rFonts w:ascii="TT1D92o00" w:eastAsia="Calibri" w:hAnsi="TT1D92o00" w:cs="TT1D92o00"/>
          <w:lang w:eastAsia="en-GB"/>
        </w:rPr>
        <w:t xml:space="preserve">two nominee companies of </w:t>
      </w:r>
      <w:r w:rsidR="00924B3E" w:rsidRPr="00924B3E">
        <w:rPr>
          <w:rFonts w:ascii="TT1D92o00" w:eastAsia="Calibri" w:hAnsi="TT1D92o00" w:cs="TT1D92o00"/>
          <w:lang w:eastAsia="en-GB"/>
        </w:rPr>
        <w:t>WOALP.</w:t>
      </w:r>
    </w:p>
    <w:p w:rsidR="00C51A50" w:rsidRDefault="00C51A50" w:rsidP="00C51A50">
      <w:pPr>
        <w:pStyle w:val="ListParagraph"/>
        <w:rPr>
          <w:rFonts w:ascii="TT1D92o00" w:eastAsia="Calibri" w:hAnsi="TT1D92o00" w:cs="TT1D92o00"/>
          <w:lang w:eastAsia="en-GB"/>
        </w:rPr>
      </w:pPr>
    </w:p>
    <w:p w:rsidR="006860F5" w:rsidRPr="00332CE1" w:rsidRDefault="006860F5" w:rsidP="00EC33AB">
      <w:pPr>
        <w:numPr>
          <w:ilvl w:val="0"/>
          <w:numId w:val="5"/>
        </w:numPr>
        <w:autoSpaceDE w:val="0"/>
        <w:autoSpaceDN w:val="0"/>
        <w:adjustRightInd w:val="0"/>
        <w:jc w:val="both"/>
        <w:rPr>
          <w:rFonts w:cs="Arial"/>
        </w:rPr>
      </w:pPr>
      <w:r w:rsidRPr="006860F5">
        <w:rPr>
          <w:rFonts w:ascii="TT1D92o00" w:eastAsia="Calibri" w:hAnsi="TT1D92o00" w:cs="TT1D92o00"/>
          <w:lang w:eastAsia="en-GB"/>
        </w:rPr>
        <w:t xml:space="preserve">There have been previous proposals to re-develop the </w:t>
      </w:r>
      <w:r w:rsidR="008E0C7C">
        <w:rPr>
          <w:rFonts w:ascii="TT1D92o00" w:eastAsia="Calibri" w:hAnsi="TT1D92o00" w:cs="TT1D92o00"/>
          <w:lang w:eastAsia="en-GB"/>
        </w:rPr>
        <w:t>existing s</w:t>
      </w:r>
      <w:r w:rsidR="00D21448" w:rsidRPr="006860F5">
        <w:rPr>
          <w:rFonts w:ascii="TT1D92o00" w:eastAsia="Calibri" w:hAnsi="TT1D92o00" w:cs="TT1D92o00"/>
          <w:lang w:eastAsia="en-GB"/>
        </w:rPr>
        <w:t xml:space="preserve">hopping </w:t>
      </w:r>
      <w:r w:rsidR="008E0C7C">
        <w:rPr>
          <w:rFonts w:ascii="TT1D92o00" w:eastAsia="Calibri" w:hAnsi="TT1D92o00" w:cs="TT1D92o00"/>
          <w:lang w:eastAsia="en-GB"/>
        </w:rPr>
        <w:t>c</w:t>
      </w:r>
      <w:r w:rsidR="00F25F31" w:rsidRPr="006860F5">
        <w:rPr>
          <w:rFonts w:ascii="TT1D92o00" w:eastAsia="Calibri" w:hAnsi="TT1D92o00" w:cs="TT1D92o00"/>
          <w:lang w:eastAsia="en-GB"/>
        </w:rPr>
        <w:t xml:space="preserve">entre </w:t>
      </w:r>
      <w:r w:rsidRPr="006860F5">
        <w:rPr>
          <w:rFonts w:ascii="TT1D92o00" w:eastAsia="Calibri" w:hAnsi="TT1D92o00" w:cs="TT1D92o00"/>
          <w:lang w:eastAsia="en-GB"/>
        </w:rPr>
        <w:t xml:space="preserve">and </w:t>
      </w:r>
      <w:r w:rsidR="007308D7" w:rsidRPr="006860F5">
        <w:rPr>
          <w:rFonts w:ascii="TT1D92o00" w:eastAsia="Calibri" w:hAnsi="TT1D92o00" w:cs="TT1D92o00"/>
          <w:lang w:eastAsia="en-GB"/>
        </w:rPr>
        <w:t>adjoining land</w:t>
      </w:r>
      <w:r w:rsidR="00AC397F">
        <w:rPr>
          <w:rFonts w:ascii="TT1D92o00" w:eastAsia="Calibri" w:hAnsi="TT1D92o00" w:cs="TT1D92o00"/>
          <w:lang w:eastAsia="en-GB"/>
        </w:rPr>
        <w:t>.  P</w:t>
      </w:r>
      <w:r w:rsidR="00521043">
        <w:rPr>
          <w:rFonts w:ascii="TT1D92o00" w:eastAsia="Calibri" w:hAnsi="TT1D92o00" w:cs="TT1D92o00"/>
          <w:lang w:eastAsia="en-GB"/>
        </w:rPr>
        <w:t xml:space="preserve">ermission </w:t>
      </w:r>
      <w:r w:rsidR="00AC397F">
        <w:rPr>
          <w:rFonts w:ascii="TT1D92o00" w:eastAsia="Calibri" w:hAnsi="TT1D92o00" w:cs="TT1D92o00"/>
          <w:lang w:eastAsia="en-GB"/>
        </w:rPr>
        <w:t xml:space="preserve">was </w:t>
      </w:r>
      <w:r w:rsidR="00521043">
        <w:rPr>
          <w:rFonts w:ascii="TT1D92o00" w:eastAsia="Calibri" w:hAnsi="TT1D92o00" w:cs="TT1D92o00"/>
          <w:lang w:eastAsia="en-GB"/>
        </w:rPr>
        <w:t>refused</w:t>
      </w:r>
      <w:r w:rsidR="00AC397F">
        <w:rPr>
          <w:rFonts w:ascii="TT1D92o00" w:eastAsia="Calibri" w:hAnsi="TT1D92o00" w:cs="TT1D92o00"/>
          <w:lang w:eastAsia="en-GB"/>
        </w:rPr>
        <w:t xml:space="preserve"> for proposals promoted in 1988.  An application made in </w:t>
      </w:r>
      <w:r w:rsidR="00521043">
        <w:rPr>
          <w:rFonts w:ascii="TT1D92o00" w:eastAsia="Calibri" w:hAnsi="TT1D92o00" w:cs="TT1D92o00"/>
          <w:lang w:eastAsia="en-GB"/>
        </w:rPr>
        <w:t xml:space="preserve">2000 </w:t>
      </w:r>
      <w:r w:rsidR="00AC397F">
        <w:rPr>
          <w:rFonts w:ascii="TT1D92o00" w:eastAsia="Calibri" w:hAnsi="TT1D92o00" w:cs="TT1D92o00"/>
          <w:lang w:eastAsia="en-GB"/>
        </w:rPr>
        <w:t xml:space="preserve">was </w:t>
      </w:r>
      <w:r w:rsidR="00521043">
        <w:rPr>
          <w:rFonts w:ascii="TT1D92o00" w:eastAsia="Calibri" w:hAnsi="TT1D92o00" w:cs="TT1D92o00"/>
          <w:lang w:eastAsia="en-GB"/>
        </w:rPr>
        <w:t>withdrawn many years later</w:t>
      </w:r>
      <w:r w:rsidR="00AC397F">
        <w:rPr>
          <w:rFonts w:ascii="TT1D92o00" w:eastAsia="Calibri" w:hAnsi="TT1D92o00" w:cs="TT1D92o00"/>
          <w:lang w:eastAsia="en-GB"/>
        </w:rPr>
        <w:t xml:space="preserve"> </w:t>
      </w:r>
      <w:r w:rsidR="00521043">
        <w:rPr>
          <w:rFonts w:ascii="TT1D92o00" w:eastAsia="Calibri" w:hAnsi="TT1D92o00" w:cs="TT1D92o00"/>
          <w:lang w:eastAsia="en-GB"/>
        </w:rPr>
        <w:t>following High Court challenge</w:t>
      </w:r>
      <w:r w:rsidR="00AC397F">
        <w:rPr>
          <w:rFonts w:ascii="TT1D92o00" w:eastAsia="Calibri" w:hAnsi="TT1D92o00" w:cs="TT1D92o00"/>
          <w:lang w:eastAsia="en-GB"/>
        </w:rPr>
        <w:t xml:space="preserve">.  New proposals were consented in </w:t>
      </w:r>
      <w:r w:rsidR="00521043">
        <w:rPr>
          <w:rFonts w:ascii="TT1D92o00" w:eastAsia="Calibri" w:hAnsi="TT1D92o00" w:cs="TT1D92o00"/>
          <w:lang w:eastAsia="en-GB"/>
        </w:rPr>
        <w:t>2007</w:t>
      </w:r>
      <w:r w:rsidR="00AC397F">
        <w:rPr>
          <w:rFonts w:ascii="TT1D92o00" w:eastAsia="Calibri" w:hAnsi="TT1D92o00" w:cs="TT1D92o00"/>
          <w:lang w:eastAsia="en-GB"/>
        </w:rPr>
        <w:t xml:space="preserve">.  </w:t>
      </w:r>
      <w:r w:rsidR="00521043">
        <w:rPr>
          <w:rFonts w:ascii="TT1D92o00" w:eastAsia="Calibri" w:hAnsi="TT1D92o00" w:cs="TT1D92o00"/>
          <w:lang w:eastAsia="en-GB"/>
        </w:rPr>
        <w:t>Whilst some preparatory works were undertaken pursuant to th</w:t>
      </w:r>
      <w:r w:rsidR="00AC397F">
        <w:rPr>
          <w:rFonts w:ascii="TT1D92o00" w:eastAsia="Calibri" w:hAnsi="TT1D92o00" w:cs="TT1D92o00"/>
          <w:lang w:eastAsia="en-GB"/>
        </w:rPr>
        <w:t xml:space="preserve">at permission </w:t>
      </w:r>
      <w:r w:rsidR="00521043">
        <w:rPr>
          <w:rFonts w:ascii="TT1D92o00" w:eastAsia="Calibri" w:hAnsi="TT1D92o00" w:cs="TT1D92o00"/>
          <w:lang w:eastAsia="en-GB"/>
        </w:rPr>
        <w:t xml:space="preserve">and 14 flats were constructed at Albion Place </w:t>
      </w:r>
      <w:r w:rsidR="00AC397F">
        <w:rPr>
          <w:rFonts w:ascii="TT1D92o00" w:eastAsia="Calibri" w:hAnsi="TT1D92o00" w:cs="TT1D92o00"/>
          <w:lang w:eastAsia="en-GB"/>
        </w:rPr>
        <w:t xml:space="preserve">(under a separate permission) </w:t>
      </w:r>
      <w:r w:rsidR="00521043">
        <w:rPr>
          <w:rFonts w:ascii="TT1D92o00" w:eastAsia="Calibri" w:hAnsi="TT1D92o00" w:cs="TT1D92o00"/>
          <w:lang w:eastAsia="en-GB"/>
        </w:rPr>
        <w:t xml:space="preserve">in replacement for </w:t>
      </w:r>
      <w:r w:rsidR="00CA1277">
        <w:rPr>
          <w:rFonts w:ascii="TT1D92o00" w:eastAsia="Calibri" w:hAnsi="TT1D92o00" w:cs="TT1D92o00"/>
          <w:lang w:eastAsia="en-GB"/>
        </w:rPr>
        <w:t xml:space="preserve">residential units </w:t>
      </w:r>
      <w:r w:rsidR="00835A5E">
        <w:rPr>
          <w:rFonts w:ascii="TT1D92o00" w:eastAsia="Calibri" w:hAnsi="TT1D92o00" w:cs="TT1D92o00"/>
          <w:lang w:eastAsia="en-GB"/>
        </w:rPr>
        <w:t xml:space="preserve">proposed to be </w:t>
      </w:r>
      <w:r w:rsidR="00521043">
        <w:rPr>
          <w:rFonts w:ascii="TT1D92o00" w:eastAsia="Calibri" w:hAnsi="TT1D92o00" w:cs="TT1D92o00"/>
          <w:lang w:eastAsia="en-GB"/>
        </w:rPr>
        <w:t>lost at Abbey Place</w:t>
      </w:r>
      <w:r w:rsidR="00AC397F">
        <w:rPr>
          <w:rFonts w:ascii="TT1D92o00" w:eastAsia="Calibri" w:hAnsi="TT1D92o00" w:cs="TT1D92o00"/>
          <w:lang w:eastAsia="en-GB"/>
        </w:rPr>
        <w:t xml:space="preserve"> through that scheme</w:t>
      </w:r>
      <w:r w:rsidR="00521043">
        <w:rPr>
          <w:rFonts w:ascii="TT1D92o00" w:eastAsia="Calibri" w:hAnsi="TT1D92o00" w:cs="TT1D92o00"/>
          <w:lang w:eastAsia="en-GB"/>
        </w:rPr>
        <w:t xml:space="preserve">, the 2007 scheme did not proceed.  </w:t>
      </w:r>
      <w:r w:rsidR="001B5ECD">
        <w:rPr>
          <w:rFonts w:ascii="TT1D92o00" w:eastAsia="Calibri" w:hAnsi="TT1D92o00" w:cs="TT1D92o00"/>
          <w:lang w:eastAsia="en-GB"/>
        </w:rPr>
        <w:t xml:space="preserve">The Council </w:t>
      </w:r>
      <w:r w:rsidR="00332CE1">
        <w:rPr>
          <w:rFonts w:ascii="TT1D92o00" w:eastAsia="Calibri" w:hAnsi="TT1D92o00" w:cs="TT1D92o00"/>
          <w:lang w:eastAsia="en-GB"/>
        </w:rPr>
        <w:t xml:space="preserve">also </w:t>
      </w:r>
      <w:r w:rsidR="001B5ECD">
        <w:rPr>
          <w:rFonts w:ascii="TT1D92o00" w:eastAsia="Calibri" w:hAnsi="TT1D92o00" w:cs="TT1D92o00"/>
          <w:lang w:eastAsia="en-GB"/>
        </w:rPr>
        <w:t xml:space="preserve">made a CPO </w:t>
      </w:r>
      <w:r w:rsidR="00882D74">
        <w:rPr>
          <w:rFonts w:ascii="TT1D92o00" w:eastAsia="Calibri" w:hAnsi="TT1D92o00" w:cs="TT1D92o00"/>
          <w:lang w:eastAsia="en-GB"/>
        </w:rPr>
        <w:t xml:space="preserve">under planning powers </w:t>
      </w:r>
      <w:r w:rsidR="001B5ECD">
        <w:rPr>
          <w:rFonts w:ascii="TT1D92o00" w:eastAsia="Calibri" w:hAnsi="TT1D92o00" w:cs="TT1D92o00"/>
          <w:lang w:eastAsia="en-GB"/>
        </w:rPr>
        <w:t xml:space="preserve">to support the </w:t>
      </w:r>
      <w:r w:rsidR="00521043">
        <w:rPr>
          <w:rFonts w:ascii="TT1D92o00" w:eastAsia="Calibri" w:hAnsi="TT1D92o00" w:cs="TT1D92o00"/>
          <w:lang w:eastAsia="en-GB"/>
        </w:rPr>
        <w:t xml:space="preserve">2007 </w:t>
      </w:r>
      <w:r w:rsidR="001B5ECD">
        <w:rPr>
          <w:rFonts w:ascii="TT1D92o00" w:eastAsia="Calibri" w:hAnsi="TT1D92o00" w:cs="TT1D92o00"/>
          <w:lang w:eastAsia="en-GB"/>
        </w:rPr>
        <w:t>scheme</w:t>
      </w:r>
      <w:r w:rsidR="00521043">
        <w:rPr>
          <w:rFonts w:ascii="TT1D92o00" w:eastAsia="Calibri" w:hAnsi="TT1D92o00" w:cs="TT1D92o00"/>
          <w:lang w:eastAsia="en-GB"/>
        </w:rPr>
        <w:t xml:space="preserve">, </w:t>
      </w:r>
      <w:r w:rsidR="00882D74">
        <w:rPr>
          <w:rFonts w:ascii="TT1D92o00" w:eastAsia="Calibri" w:hAnsi="TT1D92o00" w:cs="TT1D92o00"/>
          <w:lang w:eastAsia="en-GB"/>
        </w:rPr>
        <w:t>but t</w:t>
      </w:r>
      <w:r w:rsidR="001B5ECD">
        <w:rPr>
          <w:rFonts w:ascii="TT1D92o00" w:eastAsia="Calibri" w:hAnsi="TT1D92o00" w:cs="TT1D92o00"/>
          <w:lang w:eastAsia="en-GB"/>
        </w:rPr>
        <w:t>he powers to assemble the land under th</w:t>
      </w:r>
      <w:r w:rsidR="00332CE1">
        <w:rPr>
          <w:rFonts w:ascii="TT1D92o00" w:eastAsia="Calibri" w:hAnsi="TT1D92o00" w:cs="TT1D92o00"/>
          <w:lang w:eastAsia="en-GB"/>
        </w:rPr>
        <w:t>at</w:t>
      </w:r>
      <w:r w:rsidR="001B5ECD">
        <w:rPr>
          <w:rFonts w:ascii="TT1D92o00" w:eastAsia="Calibri" w:hAnsi="TT1D92o00" w:cs="TT1D92o00"/>
          <w:lang w:eastAsia="en-GB"/>
        </w:rPr>
        <w:t xml:space="preserve"> CPO have </w:t>
      </w:r>
      <w:r w:rsidR="00521043">
        <w:rPr>
          <w:rFonts w:ascii="TT1D92o00" w:eastAsia="Calibri" w:hAnsi="TT1D92o00" w:cs="TT1D92o00"/>
          <w:lang w:eastAsia="en-GB"/>
        </w:rPr>
        <w:t xml:space="preserve">since </w:t>
      </w:r>
      <w:r w:rsidR="001B5ECD">
        <w:rPr>
          <w:rFonts w:ascii="TT1D92o00" w:eastAsia="Calibri" w:hAnsi="TT1D92o00" w:cs="TT1D92o00"/>
          <w:lang w:eastAsia="en-GB"/>
        </w:rPr>
        <w:t xml:space="preserve">lapsed. </w:t>
      </w:r>
    </w:p>
    <w:p w:rsidR="00332CE1" w:rsidRDefault="00332CE1" w:rsidP="00332CE1">
      <w:pPr>
        <w:pStyle w:val="ListParagraph"/>
        <w:rPr>
          <w:rFonts w:cs="Arial"/>
        </w:rPr>
      </w:pPr>
    </w:p>
    <w:p w:rsidR="00332CE1" w:rsidRPr="00332CE1" w:rsidRDefault="00332CE1" w:rsidP="00332CE1">
      <w:pPr>
        <w:autoSpaceDE w:val="0"/>
        <w:autoSpaceDN w:val="0"/>
        <w:adjustRightInd w:val="0"/>
        <w:jc w:val="both"/>
        <w:rPr>
          <w:rFonts w:cs="Arial"/>
          <w:b/>
        </w:rPr>
      </w:pPr>
      <w:r>
        <w:rPr>
          <w:rFonts w:cs="Arial"/>
          <w:b/>
        </w:rPr>
        <w:t>Current re-development p</w:t>
      </w:r>
      <w:r w:rsidRPr="00332CE1">
        <w:rPr>
          <w:rFonts w:cs="Arial"/>
          <w:b/>
        </w:rPr>
        <w:t>r</w:t>
      </w:r>
      <w:r>
        <w:rPr>
          <w:rFonts w:cs="Arial"/>
          <w:b/>
        </w:rPr>
        <w:t>o</w:t>
      </w:r>
      <w:r w:rsidRPr="00332CE1">
        <w:rPr>
          <w:rFonts w:cs="Arial"/>
          <w:b/>
        </w:rPr>
        <w:t>posals</w:t>
      </w:r>
    </w:p>
    <w:p w:rsidR="009B2DDF" w:rsidRPr="006860F5" w:rsidRDefault="009B2DDF" w:rsidP="009B2DDF">
      <w:pPr>
        <w:autoSpaceDE w:val="0"/>
        <w:autoSpaceDN w:val="0"/>
        <w:adjustRightInd w:val="0"/>
        <w:ind w:left="680"/>
        <w:jc w:val="both"/>
        <w:rPr>
          <w:rFonts w:cs="Arial"/>
        </w:rPr>
      </w:pPr>
    </w:p>
    <w:p w:rsidR="00B973BF" w:rsidRPr="009B2DDF" w:rsidRDefault="00A10176" w:rsidP="00EC33AB">
      <w:pPr>
        <w:numPr>
          <w:ilvl w:val="0"/>
          <w:numId w:val="5"/>
        </w:numPr>
        <w:autoSpaceDE w:val="0"/>
        <w:autoSpaceDN w:val="0"/>
        <w:adjustRightInd w:val="0"/>
        <w:jc w:val="both"/>
        <w:rPr>
          <w:rFonts w:cs="Arial"/>
        </w:rPr>
      </w:pPr>
      <w:r>
        <w:rPr>
          <w:rFonts w:ascii="TT1D92o00" w:eastAsia="Calibri" w:hAnsi="TT1D92o00" w:cs="TT1D92o00"/>
          <w:lang w:eastAsia="en-GB"/>
        </w:rPr>
        <w:t xml:space="preserve">On </w:t>
      </w:r>
      <w:r w:rsidR="00F25119">
        <w:rPr>
          <w:rFonts w:ascii="TT1D92o00" w:eastAsia="Calibri" w:hAnsi="TT1D92o00" w:cs="TT1D92o00"/>
          <w:lang w:eastAsia="en-GB"/>
        </w:rPr>
        <w:t xml:space="preserve">16 </w:t>
      </w:r>
      <w:r w:rsidR="00D7754A">
        <w:rPr>
          <w:rFonts w:ascii="TT1D92o00" w:eastAsia="Calibri" w:hAnsi="TT1D92o00" w:cs="TT1D92o00"/>
          <w:lang w:eastAsia="en-GB"/>
        </w:rPr>
        <w:t>October 2014,</w:t>
      </w:r>
      <w:r>
        <w:rPr>
          <w:rFonts w:ascii="TT1D92o00" w:eastAsia="Calibri" w:hAnsi="TT1D92o00" w:cs="TT1D92o00"/>
          <w:lang w:eastAsia="en-GB"/>
        </w:rPr>
        <w:t xml:space="preserve"> planning permission </w:t>
      </w:r>
      <w:r w:rsidR="004D1181">
        <w:rPr>
          <w:rFonts w:ascii="TT1D92o00" w:eastAsia="Calibri" w:hAnsi="TT1D92o00" w:cs="TT1D92o00"/>
          <w:lang w:eastAsia="en-GB"/>
        </w:rPr>
        <w:t xml:space="preserve">was granted </w:t>
      </w:r>
      <w:r>
        <w:rPr>
          <w:rFonts w:ascii="TT1D92o00" w:eastAsia="Calibri" w:hAnsi="TT1D92o00" w:cs="TT1D92o00"/>
          <w:lang w:eastAsia="en-GB"/>
        </w:rPr>
        <w:t>for mixed use retail led re-development of the Site with a range of Class A uses and residential and leisure uses and associated parking</w:t>
      </w:r>
      <w:r w:rsidR="00F25119">
        <w:rPr>
          <w:rFonts w:ascii="TT1D92o00" w:eastAsia="Calibri" w:hAnsi="TT1D92o00" w:cs="TT1D92o00"/>
          <w:lang w:eastAsia="en-GB"/>
        </w:rPr>
        <w:t>, subject to a number of reserved matters which the Council resolved to approve on 25 November 2014</w:t>
      </w:r>
      <w:r w:rsidR="00D07921" w:rsidRPr="006860F5">
        <w:rPr>
          <w:rFonts w:ascii="TT1D92o00" w:eastAsia="Calibri" w:hAnsi="TT1D92o00" w:cs="TT1D92o00"/>
          <w:lang w:eastAsia="en-GB"/>
        </w:rPr>
        <w:t xml:space="preserve">. </w:t>
      </w:r>
      <w:r w:rsidR="005C2EDF">
        <w:rPr>
          <w:rFonts w:ascii="TT1D92o00" w:eastAsia="Calibri" w:hAnsi="TT1D92o00" w:cs="TT1D92o00"/>
          <w:lang w:eastAsia="en-GB"/>
        </w:rPr>
        <w:t xml:space="preserve"> </w:t>
      </w:r>
      <w:r>
        <w:rPr>
          <w:rFonts w:ascii="TT1D92o00" w:eastAsia="Calibri" w:hAnsi="TT1D92o00" w:cs="TT1D92o00"/>
          <w:lang w:eastAsia="en-GB"/>
        </w:rPr>
        <w:t>T</w:t>
      </w:r>
      <w:r w:rsidR="008F3829" w:rsidRPr="006860F5">
        <w:rPr>
          <w:rFonts w:ascii="TT1D92o00" w:eastAsia="Calibri" w:hAnsi="TT1D92o00" w:cs="TT1D92o00"/>
          <w:lang w:eastAsia="en-GB"/>
        </w:rPr>
        <w:t>he proposals involve</w:t>
      </w:r>
      <w:r w:rsidR="00F04A49" w:rsidRPr="006860F5">
        <w:rPr>
          <w:rFonts w:ascii="TT1D92o00" w:eastAsia="Calibri" w:hAnsi="TT1D92o00" w:cs="TT1D92o00"/>
          <w:lang w:eastAsia="en-GB"/>
        </w:rPr>
        <w:t xml:space="preserve"> </w:t>
      </w:r>
      <w:r w:rsidR="008F3829" w:rsidRPr="006860F5">
        <w:rPr>
          <w:rFonts w:ascii="TT1D92o00" w:eastAsia="Calibri" w:hAnsi="TT1D92o00" w:cs="TT1D92o00"/>
          <w:lang w:eastAsia="en-GB"/>
        </w:rPr>
        <w:t>the demolition of the existing</w:t>
      </w:r>
      <w:r w:rsidR="00F04A49" w:rsidRPr="006860F5">
        <w:rPr>
          <w:rFonts w:ascii="TT1D92o00" w:eastAsia="Calibri" w:hAnsi="TT1D92o00" w:cs="TT1D92o00"/>
          <w:lang w:eastAsia="en-GB"/>
        </w:rPr>
        <w:t xml:space="preserve"> </w:t>
      </w:r>
      <w:r w:rsidR="008E0C7C">
        <w:rPr>
          <w:rFonts w:ascii="TT1D92o00" w:eastAsia="Calibri" w:hAnsi="TT1D92o00" w:cs="TT1D92o00"/>
          <w:lang w:eastAsia="en-GB"/>
        </w:rPr>
        <w:t xml:space="preserve">southern section of the </w:t>
      </w:r>
      <w:r w:rsidR="00882D74">
        <w:rPr>
          <w:rFonts w:ascii="TT1D92o00" w:eastAsia="Calibri" w:hAnsi="TT1D92o00" w:cs="TT1D92o00"/>
          <w:lang w:eastAsia="en-GB"/>
        </w:rPr>
        <w:t xml:space="preserve">existing </w:t>
      </w:r>
      <w:r w:rsidR="008E0C7C">
        <w:rPr>
          <w:rFonts w:ascii="TT1D92o00" w:eastAsia="Calibri" w:hAnsi="TT1D92o00" w:cs="TT1D92o00"/>
          <w:lang w:eastAsia="en-GB"/>
        </w:rPr>
        <w:t>s</w:t>
      </w:r>
      <w:r w:rsidR="008F3829" w:rsidRPr="006860F5">
        <w:rPr>
          <w:rFonts w:ascii="TT1D92o00" w:eastAsia="Calibri" w:hAnsi="TT1D92o00" w:cs="TT1D92o00"/>
          <w:lang w:eastAsia="en-GB"/>
        </w:rPr>
        <w:t xml:space="preserve">hopping </w:t>
      </w:r>
      <w:r w:rsidR="008E0C7C">
        <w:rPr>
          <w:rFonts w:ascii="TT1D92o00" w:eastAsia="Calibri" w:hAnsi="TT1D92o00" w:cs="TT1D92o00"/>
          <w:lang w:eastAsia="en-GB"/>
        </w:rPr>
        <w:t>c</w:t>
      </w:r>
      <w:r w:rsidR="008F3829" w:rsidRPr="006860F5">
        <w:rPr>
          <w:rFonts w:ascii="TT1D92o00" w:eastAsia="Calibri" w:hAnsi="TT1D92o00" w:cs="TT1D92o00"/>
          <w:lang w:eastAsia="en-GB"/>
        </w:rPr>
        <w:t>entre, with the exception of most of that part of the site currently occupied by</w:t>
      </w:r>
      <w:r w:rsidR="00F04A49" w:rsidRPr="006860F5">
        <w:rPr>
          <w:rFonts w:ascii="TT1D92o00" w:eastAsia="Calibri" w:hAnsi="TT1D92o00" w:cs="TT1D92o00"/>
          <w:lang w:eastAsia="en-GB"/>
        </w:rPr>
        <w:t xml:space="preserve"> </w:t>
      </w:r>
      <w:r w:rsidR="008F3829" w:rsidRPr="006860F5">
        <w:rPr>
          <w:rFonts w:ascii="TT1D92o00" w:eastAsia="Calibri" w:hAnsi="TT1D92o00" w:cs="TT1D92o00"/>
          <w:lang w:eastAsia="en-GB"/>
        </w:rPr>
        <w:t>Sainsbury</w:t>
      </w:r>
      <w:r w:rsidR="00F04A49" w:rsidRPr="006860F5">
        <w:rPr>
          <w:rFonts w:ascii="TT1D92o00" w:eastAsia="Calibri" w:hAnsi="TT1D92o00" w:cs="TT1D92o00"/>
          <w:lang w:eastAsia="en-GB"/>
        </w:rPr>
        <w:t>’</w:t>
      </w:r>
      <w:r w:rsidR="008F3829" w:rsidRPr="006860F5">
        <w:rPr>
          <w:rFonts w:ascii="TT1D92o00" w:eastAsia="Calibri" w:hAnsi="TT1D92o00" w:cs="TT1D92o00"/>
          <w:lang w:eastAsia="en-GB"/>
        </w:rPr>
        <w:t>s</w:t>
      </w:r>
      <w:r w:rsidR="00F04A49" w:rsidRPr="006860F5">
        <w:rPr>
          <w:rFonts w:ascii="TT1D92o00" w:eastAsia="Calibri" w:hAnsi="TT1D92o00" w:cs="TT1D92o00"/>
          <w:lang w:eastAsia="en-GB"/>
        </w:rPr>
        <w:t xml:space="preserve">, with the northern part </w:t>
      </w:r>
      <w:r w:rsidR="008F3829" w:rsidRPr="006860F5">
        <w:rPr>
          <w:rFonts w:ascii="TT1D92o00" w:eastAsia="Calibri" w:hAnsi="TT1D92o00" w:cs="TT1D92o00"/>
          <w:lang w:eastAsia="en-GB"/>
        </w:rPr>
        <w:t xml:space="preserve">retained </w:t>
      </w:r>
      <w:r w:rsidR="00B27BE6" w:rsidRPr="006860F5">
        <w:rPr>
          <w:rFonts w:ascii="TT1D92o00" w:eastAsia="Calibri" w:hAnsi="TT1D92o00" w:cs="TT1D92o00"/>
          <w:lang w:eastAsia="en-GB"/>
        </w:rPr>
        <w:t xml:space="preserve">and </w:t>
      </w:r>
      <w:r w:rsidR="008F3829" w:rsidRPr="006860F5">
        <w:rPr>
          <w:rFonts w:ascii="TT1D92o00" w:eastAsia="Calibri" w:hAnsi="TT1D92o00" w:cs="TT1D92o00"/>
          <w:lang w:eastAsia="en-GB"/>
        </w:rPr>
        <w:t>refurbished</w:t>
      </w:r>
      <w:r w:rsidR="00D07921" w:rsidRPr="00D07921">
        <w:t xml:space="preserve"> </w:t>
      </w:r>
      <w:r w:rsidR="00D07921" w:rsidRPr="006860F5">
        <w:rPr>
          <w:rFonts w:ascii="TT1D92o00" w:eastAsia="Calibri" w:hAnsi="TT1D92o00" w:cs="TT1D92o00"/>
          <w:lang w:eastAsia="en-GB"/>
        </w:rPr>
        <w:t xml:space="preserve">whilst retaining the public library throughout construction and following completion of the development. </w:t>
      </w:r>
      <w:r w:rsidR="008F3829" w:rsidRPr="006860F5">
        <w:rPr>
          <w:rFonts w:ascii="TT1D92o00" w:eastAsia="Calibri" w:hAnsi="TT1D92o00" w:cs="TT1D92o00"/>
          <w:lang w:eastAsia="en-GB"/>
        </w:rPr>
        <w:t xml:space="preserve"> </w:t>
      </w:r>
      <w:r w:rsidR="00B27BE6" w:rsidRPr="006860F5">
        <w:rPr>
          <w:rFonts w:ascii="TT1D92o00" w:eastAsia="Calibri" w:hAnsi="TT1D92o00" w:cs="TT1D92o00"/>
          <w:lang w:eastAsia="en-GB"/>
        </w:rPr>
        <w:t>T</w:t>
      </w:r>
      <w:r w:rsidR="008F3829" w:rsidRPr="006860F5">
        <w:rPr>
          <w:rFonts w:ascii="TT1D92o00" w:eastAsia="Calibri" w:hAnsi="TT1D92o00" w:cs="TT1D92o00"/>
          <w:lang w:eastAsia="en-GB"/>
        </w:rPr>
        <w:t>he multi-storey car park and</w:t>
      </w:r>
      <w:r w:rsidR="00F04A49" w:rsidRPr="006860F5">
        <w:rPr>
          <w:rFonts w:ascii="TT1D92o00" w:eastAsia="Calibri" w:hAnsi="TT1D92o00" w:cs="TT1D92o00"/>
          <w:lang w:eastAsia="en-GB"/>
        </w:rPr>
        <w:t xml:space="preserve"> </w:t>
      </w:r>
      <w:r w:rsidR="008F3829" w:rsidRPr="006860F5">
        <w:rPr>
          <w:rFonts w:ascii="TT1D92o00" w:eastAsia="Calibri" w:hAnsi="TT1D92o00" w:cs="TT1D92o00"/>
          <w:lang w:eastAsia="en-GB"/>
        </w:rPr>
        <w:t>bridge connection to the shopping centre</w:t>
      </w:r>
      <w:r w:rsidR="00B27BE6" w:rsidRPr="006860F5">
        <w:rPr>
          <w:rFonts w:ascii="TT1D92o00" w:eastAsia="Calibri" w:hAnsi="TT1D92o00" w:cs="TT1D92o00"/>
          <w:lang w:eastAsia="en-GB"/>
        </w:rPr>
        <w:t xml:space="preserve"> </w:t>
      </w:r>
      <w:r w:rsidR="00CA1277">
        <w:rPr>
          <w:rFonts w:ascii="TT1D92o00" w:eastAsia="Calibri" w:hAnsi="TT1D92o00" w:cs="TT1D92o00"/>
          <w:lang w:eastAsia="en-GB"/>
        </w:rPr>
        <w:t xml:space="preserve">are </w:t>
      </w:r>
      <w:r w:rsidR="00B27BE6" w:rsidRPr="006860F5">
        <w:rPr>
          <w:rFonts w:ascii="TT1D92o00" w:eastAsia="Calibri" w:hAnsi="TT1D92o00" w:cs="TT1D92o00"/>
          <w:lang w:eastAsia="en-GB"/>
        </w:rPr>
        <w:t xml:space="preserve">also </w:t>
      </w:r>
      <w:r w:rsidR="00CA1277">
        <w:rPr>
          <w:rFonts w:ascii="TT1D92o00" w:eastAsia="Calibri" w:hAnsi="TT1D92o00" w:cs="TT1D92o00"/>
          <w:lang w:eastAsia="en-GB"/>
        </w:rPr>
        <w:t xml:space="preserve">to </w:t>
      </w:r>
      <w:r w:rsidR="00B27BE6" w:rsidRPr="006860F5">
        <w:rPr>
          <w:rFonts w:ascii="TT1D92o00" w:eastAsia="Calibri" w:hAnsi="TT1D92o00" w:cs="TT1D92o00"/>
          <w:lang w:eastAsia="en-GB"/>
        </w:rPr>
        <w:t xml:space="preserve">be demolished, as </w:t>
      </w:r>
      <w:r w:rsidR="00CA1277">
        <w:rPr>
          <w:rFonts w:ascii="TT1D92o00" w:eastAsia="Calibri" w:hAnsi="TT1D92o00" w:cs="TT1D92o00"/>
          <w:lang w:eastAsia="en-GB"/>
        </w:rPr>
        <w:t xml:space="preserve">are </w:t>
      </w:r>
      <w:r w:rsidR="008F3829" w:rsidRPr="006860F5">
        <w:rPr>
          <w:rFonts w:ascii="TT1D92o00" w:eastAsia="Calibri" w:hAnsi="TT1D92o00" w:cs="TT1D92o00"/>
          <w:lang w:eastAsia="en-GB"/>
        </w:rPr>
        <w:t xml:space="preserve">14 residential </w:t>
      </w:r>
      <w:r w:rsidR="00B27BE6" w:rsidRPr="006860F5">
        <w:rPr>
          <w:rFonts w:ascii="TT1D92o00" w:eastAsia="Calibri" w:hAnsi="TT1D92o00" w:cs="TT1D92o00"/>
          <w:lang w:eastAsia="en-GB"/>
        </w:rPr>
        <w:t xml:space="preserve">units at </w:t>
      </w:r>
      <w:r w:rsidR="008F3829" w:rsidRPr="006860F5">
        <w:rPr>
          <w:rFonts w:ascii="TT1D92o00" w:eastAsia="Calibri" w:hAnsi="TT1D92o00" w:cs="TT1D92o00"/>
          <w:lang w:eastAsia="en-GB"/>
        </w:rPr>
        <w:t>Abbey Place</w:t>
      </w:r>
      <w:r w:rsidR="00B27BE6" w:rsidRPr="006860F5">
        <w:rPr>
          <w:rFonts w:ascii="TT1D92o00" w:eastAsia="Calibri" w:hAnsi="TT1D92o00" w:cs="TT1D92o00"/>
          <w:lang w:eastAsia="en-GB"/>
        </w:rPr>
        <w:t>, although t</w:t>
      </w:r>
      <w:r w:rsidR="008F3829" w:rsidRPr="006860F5">
        <w:rPr>
          <w:rFonts w:ascii="TT1D92o00" w:eastAsia="Calibri" w:hAnsi="TT1D92o00" w:cs="TT1D92o00"/>
          <w:lang w:eastAsia="en-GB"/>
        </w:rPr>
        <w:t xml:space="preserve">hese </w:t>
      </w:r>
      <w:r w:rsidR="00CA1277">
        <w:rPr>
          <w:rFonts w:ascii="TT1D92o00" w:eastAsia="Calibri" w:hAnsi="TT1D92o00" w:cs="TT1D92o00"/>
          <w:lang w:eastAsia="en-GB"/>
        </w:rPr>
        <w:t xml:space="preserve">have already been replaced </w:t>
      </w:r>
      <w:r w:rsidR="00B27BE6" w:rsidRPr="006860F5">
        <w:rPr>
          <w:rFonts w:ascii="TT1D92o00" w:eastAsia="Calibri" w:hAnsi="TT1D92o00" w:cs="TT1D92o00"/>
          <w:lang w:eastAsia="en-GB"/>
        </w:rPr>
        <w:t>a</w:t>
      </w:r>
      <w:r w:rsidR="00CA1277">
        <w:rPr>
          <w:rFonts w:ascii="TT1D92o00" w:eastAsia="Calibri" w:hAnsi="TT1D92o00" w:cs="TT1D92o00"/>
          <w:lang w:eastAsia="en-GB"/>
        </w:rPr>
        <w:t>t Albion Place a</w:t>
      </w:r>
      <w:r w:rsidR="00B27BE6" w:rsidRPr="006860F5">
        <w:rPr>
          <w:rFonts w:ascii="TT1D92o00" w:eastAsia="Calibri" w:hAnsi="TT1D92o00" w:cs="TT1D92o00"/>
          <w:lang w:eastAsia="en-GB"/>
        </w:rPr>
        <w:t xml:space="preserve">s referred to above. </w:t>
      </w:r>
      <w:r w:rsidR="00D07921" w:rsidRPr="006860F5">
        <w:rPr>
          <w:rFonts w:ascii="TT1D92o00" w:eastAsia="Calibri" w:hAnsi="TT1D92o00" w:cs="TT1D92o00"/>
          <w:lang w:eastAsia="en-GB"/>
        </w:rPr>
        <w:t xml:space="preserve"> </w:t>
      </w:r>
      <w:r w:rsidR="008F3829" w:rsidRPr="006860F5">
        <w:rPr>
          <w:rFonts w:ascii="TT1D92o00" w:eastAsia="Calibri" w:hAnsi="TT1D92o00" w:cs="TT1D92o00"/>
          <w:lang w:eastAsia="en-GB"/>
        </w:rPr>
        <w:t xml:space="preserve">Entrance from Bonn Square </w:t>
      </w:r>
      <w:r w:rsidR="00D07921" w:rsidRPr="006860F5">
        <w:rPr>
          <w:rFonts w:ascii="TT1D92o00" w:eastAsia="Calibri" w:hAnsi="TT1D92o00" w:cs="TT1D92o00"/>
          <w:lang w:eastAsia="en-GB"/>
        </w:rPr>
        <w:t xml:space="preserve">is to be retained, as are the </w:t>
      </w:r>
      <w:r w:rsidR="008F3829" w:rsidRPr="006860F5">
        <w:rPr>
          <w:rFonts w:ascii="TT1D92o00" w:eastAsia="Calibri" w:hAnsi="TT1D92o00" w:cs="TT1D92o00"/>
          <w:lang w:eastAsia="en-GB"/>
        </w:rPr>
        <w:t xml:space="preserve">entrances from </w:t>
      </w:r>
      <w:proofErr w:type="spellStart"/>
      <w:r w:rsidR="008F3829" w:rsidRPr="006860F5">
        <w:rPr>
          <w:rFonts w:ascii="TT1D92o00" w:eastAsia="Calibri" w:hAnsi="TT1D92o00" w:cs="TT1D92o00"/>
          <w:lang w:eastAsia="en-GB"/>
        </w:rPr>
        <w:t>Pennyfathing</w:t>
      </w:r>
      <w:proofErr w:type="spellEnd"/>
      <w:r w:rsidR="008F3829" w:rsidRPr="006860F5">
        <w:rPr>
          <w:rFonts w:ascii="TT1D92o00" w:eastAsia="Calibri" w:hAnsi="TT1D92o00" w:cs="TT1D92o00"/>
          <w:lang w:eastAsia="en-GB"/>
        </w:rPr>
        <w:t xml:space="preserve"> Place and Castle Street. </w:t>
      </w:r>
    </w:p>
    <w:p w:rsidR="00A656B4" w:rsidRDefault="00A656B4" w:rsidP="00A656B4">
      <w:pPr>
        <w:pStyle w:val="ListParagraph"/>
        <w:rPr>
          <w:rFonts w:cs="Arial"/>
        </w:rPr>
      </w:pPr>
    </w:p>
    <w:p w:rsidR="00A656B4" w:rsidRDefault="00A656B4" w:rsidP="005C2EDF">
      <w:pPr>
        <w:numPr>
          <w:ilvl w:val="0"/>
          <w:numId w:val="5"/>
        </w:numPr>
        <w:autoSpaceDE w:val="0"/>
        <w:autoSpaceDN w:val="0"/>
        <w:adjustRightInd w:val="0"/>
        <w:jc w:val="both"/>
        <w:rPr>
          <w:rFonts w:cs="Arial"/>
        </w:rPr>
      </w:pPr>
      <w:r>
        <w:rPr>
          <w:rFonts w:cs="Arial"/>
        </w:rPr>
        <w:t xml:space="preserve">WOALP has identified </w:t>
      </w:r>
      <w:r w:rsidR="001C40AB">
        <w:rPr>
          <w:rFonts w:cs="Arial"/>
        </w:rPr>
        <w:t xml:space="preserve">certain </w:t>
      </w:r>
      <w:r>
        <w:rPr>
          <w:rFonts w:cs="Arial"/>
        </w:rPr>
        <w:t xml:space="preserve">third party rights over </w:t>
      </w:r>
      <w:r w:rsidR="00492F36">
        <w:rPr>
          <w:rFonts w:cs="Arial"/>
        </w:rPr>
        <w:t xml:space="preserve">the Site </w:t>
      </w:r>
      <w:r>
        <w:rPr>
          <w:rFonts w:cs="Arial"/>
        </w:rPr>
        <w:t xml:space="preserve">which will need to be physically interfered with in order to carry out the re-development in accordance with the planning permission.  </w:t>
      </w:r>
      <w:r w:rsidR="00C6662A">
        <w:rPr>
          <w:rFonts w:cs="Arial"/>
        </w:rPr>
        <w:t xml:space="preserve">As things stand, </w:t>
      </w:r>
      <w:r w:rsidR="005C2EDF">
        <w:rPr>
          <w:rFonts w:cs="Arial"/>
        </w:rPr>
        <w:t xml:space="preserve">unless the rights are released or overridden, those with the benefit of the rights could seek to prevent the re-development scheme proceeding so far as it </w:t>
      </w:r>
      <w:r w:rsidR="004D1181">
        <w:rPr>
          <w:rFonts w:cs="Arial"/>
        </w:rPr>
        <w:t xml:space="preserve">interferes with </w:t>
      </w:r>
      <w:r w:rsidR="005C2EDF">
        <w:rPr>
          <w:rFonts w:cs="Arial"/>
        </w:rPr>
        <w:t xml:space="preserve">their rights. </w:t>
      </w:r>
    </w:p>
    <w:p w:rsidR="00882D74" w:rsidRDefault="00882D74" w:rsidP="00882D74">
      <w:pPr>
        <w:pStyle w:val="ListParagraph"/>
        <w:rPr>
          <w:rFonts w:cs="Arial"/>
        </w:rPr>
      </w:pPr>
    </w:p>
    <w:p w:rsidR="004D1181" w:rsidRDefault="00986AEC" w:rsidP="005C2EDF">
      <w:pPr>
        <w:numPr>
          <w:ilvl w:val="0"/>
          <w:numId w:val="5"/>
        </w:numPr>
        <w:autoSpaceDE w:val="0"/>
        <w:autoSpaceDN w:val="0"/>
        <w:adjustRightInd w:val="0"/>
        <w:jc w:val="both"/>
        <w:rPr>
          <w:rFonts w:cs="Arial"/>
        </w:rPr>
      </w:pPr>
      <w:r>
        <w:rPr>
          <w:rFonts w:cs="Arial"/>
        </w:rPr>
        <w:t xml:space="preserve">S237 of the Town and Country Planning Act 1990 </w:t>
      </w:r>
      <w:r w:rsidR="000C7F2B">
        <w:rPr>
          <w:rFonts w:cs="Arial"/>
        </w:rPr>
        <w:t xml:space="preserve">(1990 Act) </w:t>
      </w:r>
      <w:r>
        <w:rPr>
          <w:rFonts w:cs="Arial"/>
        </w:rPr>
        <w:t xml:space="preserve">authorises interference with third party rights such as easements, restrictive covenants </w:t>
      </w:r>
      <w:proofErr w:type="spellStart"/>
      <w:r>
        <w:rPr>
          <w:rFonts w:cs="Arial"/>
        </w:rPr>
        <w:t>etc</w:t>
      </w:r>
      <w:proofErr w:type="spellEnd"/>
      <w:r>
        <w:rPr>
          <w:rFonts w:cs="Arial"/>
        </w:rPr>
        <w:t xml:space="preserve"> </w:t>
      </w:r>
      <w:r w:rsidR="0016628B">
        <w:rPr>
          <w:rFonts w:cs="Arial"/>
        </w:rPr>
        <w:t xml:space="preserve">in respect of land </w:t>
      </w:r>
      <w:r w:rsidR="00FA427D">
        <w:rPr>
          <w:rFonts w:cs="Arial"/>
        </w:rPr>
        <w:t xml:space="preserve">acquired or appropriated by a local authority for planning purposes, where the interference results from development </w:t>
      </w:r>
      <w:r w:rsidR="004D1181">
        <w:rPr>
          <w:rFonts w:cs="Arial"/>
        </w:rPr>
        <w:t xml:space="preserve">in accordance with planning permission.  The protection applies not only to the local authority, but also to anyone deriving title from </w:t>
      </w:r>
      <w:r w:rsidR="00B8416B">
        <w:rPr>
          <w:rFonts w:cs="Arial"/>
        </w:rPr>
        <w:t>i</w:t>
      </w:r>
      <w:r w:rsidR="004D1181">
        <w:rPr>
          <w:rFonts w:cs="Arial"/>
        </w:rPr>
        <w:t xml:space="preserve">t.   </w:t>
      </w:r>
      <w:r w:rsidR="00604F29">
        <w:rPr>
          <w:rFonts w:cs="Arial"/>
        </w:rPr>
        <w:t>Where s237 is engaged</w:t>
      </w:r>
      <w:r w:rsidR="008257A8">
        <w:rPr>
          <w:rFonts w:cs="Arial"/>
        </w:rPr>
        <w:t>,</w:t>
      </w:r>
      <w:r w:rsidR="00604F29">
        <w:rPr>
          <w:rFonts w:cs="Arial"/>
        </w:rPr>
        <w:t xml:space="preserve"> any interference with a third party right is converted to an entitlement to compensation based on the </w:t>
      </w:r>
      <w:r w:rsidR="00882D74">
        <w:rPr>
          <w:rFonts w:cs="Arial"/>
        </w:rPr>
        <w:t xml:space="preserve">reduction in </w:t>
      </w:r>
      <w:r w:rsidR="00604F29">
        <w:rPr>
          <w:rFonts w:cs="Arial"/>
        </w:rPr>
        <w:t>value of the</w:t>
      </w:r>
      <w:r w:rsidR="00B8416B">
        <w:rPr>
          <w:rFonts w:cs="Arial"/>
        </w:rPr>
        <w:t xml:space="preserve"> third party’s l</w:t>
      </w:r>
      <w:r w:rsidR="00604F29">
        <w:rPr>
          <w:rFonts w:cs="Arial"/>
        </w:rPr>
        <w:t>and attributable to the interference</w:t>
      </w:r>
      <w:r w:rsidR="00882D74">
        <w:rPr>
          <w:rFonts w:cs="Arial"/>
        </w:rPr>
        <w:t xml:space="preserve"> with the rights attaching to it</w:t>
      </w:r>
      <w:r w:rsidR="00604F29">
        <w:rPr>
          <w:rFonts w:cs="Arial"/>
        </w:rPr>
        <w:t xml:space="preserve">. </w:t>
      </w:r>
    </w:p>
    <w:p w:rsidR="004D1181" w:rsidRDefault="004D1181" w:rsidP="004D1181">
      <w:pPr>
        <w:pStyle w:val="ListParagraph"/>
        <w:rPr>
          <w:rFonts w:cs="Arial"/>
        </w:rPr>
      </w:pPr>
    </w:p>
    <w:p w:rsidR="005C2EDF" w:rsidRPr="005C2EDF" w:rsidRDefault="005C2EDF" w:rsidP="005C2EDF">
      <w:pPr>
        <w:numPr>
          <w:ilvl w:val="0"/>
          <w:numId w:val="5"/>
        </w:numPr>
        <w:autoSpaceDE w:val="0"/>
        <w:autoSpaceDN w:val="0"/>
        <w:adjustRightInd w:val="0"/>
        <w:jc w:val="both"/>
        <w:rPr>
          <w:rFonts w:cs="Arial"/>
        </w:rPr>
      </w:pPr>
      <w:r>
        <w:rPr>
          <w:rFonts w:cs="Arial"/>
        </w:rPr>
        <w:t xml:space="preserve">WOALP has </w:t>
      </w:r>
      <w:r w:rsidR="008240E8">
        <w:rPr>
          <w:rFonts w:cs="Arial"/>
        </w:rPr>
        <w:t xml:space="preserve">invited the Council to </w:t>
      </w:r>
      <w:r>
        <w:rPr>
          <w:rFonts w:cs="Arial"/>
        </w:rPr>
        <w:t xml:space="preserve">consider </w:t>
      </w:r>
      <w:r w:rsidR="004D1181">
        <w:rPr>
          <w:rFonts w:cs="Arial"/>
        </w:rPr>
        <w:t xml:space="preserve">using </w:t>
      </w:r>
      <w:r w:rsidR="00492F36">
        <w:rPr>
          <w:rFonts w:cs="Arial"/>
        </w:rPr>
        <w:t xml:space="preserve">its </w:t>
      </w:r>
      <w:r w:rsidR="004D1181">
        <w:rPr>
          <w:rFonts w:cs="Arial"/>
        </w:rPr>
        <w:t xml:space="preserve">applicable powers </w:t>
      </w:r>
      <w:r w:rsidR="00492F36">
        <w:rPr>
          <w:rFonts w:cs="Arial"/>
        </w:rPr>
        <w:t xml:space="preserve">to </w:t>
      </w:r>
      <w:r w:rsidR="00604F29">
        <w:rPr>
          <w:rFonts w:cs="Arial"/>
        </w:rPr>
        <w:t>confer the protection afforded by S</w:t>
      </w:r>
      <w:r w:rsidR="004D1181">
        <w:rPr>
          <w:rFonts w:cs="Arial"/>
        </w:rPr>
        <w:t>237</w:t>
      </w:r>
      <w:r w:rsidR="00604F29">
        <w:rPr>
          <w:rFonts w:cs="Arial"/>
        </w:rPr>
        <w:t>.</w:t>
      </w:r>
      <w:r w:rsidR="008240E8">
        <w:rPr>
          <w:rFonts w:cs="Arial"/>
        </w:rPr>
        <w:t xml:space="preserve">  </w:t>
      </w:r>
    </w:p>
    <w:p w:rsidR="00E70123" w:rsidRPr="002E17B2" w:rsidRDefault="00E70123" w:rsidP="005D3AAD">
      <w:pPr>
        <w:pStyle w:val="BodyTextIndent"/>
        <w:ind w:left="0" w:firstLine="0"/>
        <w:jc w:val="both"/>
        <w:rPr>
          <w:b/>
        </w:rPr>
      </w:pPr>
    </w:p>
    <w:p w:rsidR="00E70123" w:rsidRDefault="00401D6F" w:rsidP="00882D74">
      <w:pPr>
        <w:jc w:val="both"/>
        <w:rPr>
          <w:rFonts w:cs="Arial"/>
          <w:b/>
        </w:rPr>
      </w:pPr>
      <w:r>
        <w:rPr>
          <w:rFonts w:cs="Arial"/>
          <w:b/>
        </w:rPr>
        <w:t>Purpose for which the Site is currently held</w:t>
      </w:r>
      <w:r w:rsidR="00576A22">
        <w:rPr>
          <w:rFonts w:cs="Arial"/>
          <w:b/>
        </w:rPr>
        <w:t xml:space="preserve"> and third party rights affected</w:t>
      </w:r>
      <w:r>
        <w:rPr>
          <w:rFonts w:cs="Arial"/>
          <w:b/>
        </w:rPr>
        <w:t xml:space="preserve"> </w:t>
      </w:r>
    </w:p>
    <w:p w:rsidR="003C1572" w:rsidRDefault="003C1572" w:rsidP="005D3AAD">
      <w:pPr>
        <w:ind w:left="720" w:hanging="720"/>
        <w:jc w:val="both"/>
        <w:rPr>
          <w:rFonts w:cs="Arial"/>
          <w:b/>
        </w:rPr>
      </w:pPr>
    </w:p>
    <w:p w:rsidR="002E2E89" w:rsidRPr="00990AD6" w:rsidRDefault="00D26139" w:rsidP="002E2E89">
      <w:pPr>
        <w:numPr>
          <w:ilvl w:val="0"/>
          <w:numId w:val="5"/>
        </w:numPr>
        <w:autoSpaceDE w:val="0"/>
        <w:autoSpaceDN w:val="0"/>
        <w:adjustRightInd w:val="0"/>
        <w:jc w:val="both"/>
        <w:rPr>
          <w:rFonts w:cs="Arial"/>
        </w:rPr>
      </w:pPr>
      <w:r w:rsidRPr="00990AD6">
        <w:rPr>
          <w:rFonts w:cs="Arial"/>
        </w:rPr>
        <w:t xml:space="preserve">The third party rights affected include rights </w:t>
      </w:r>
      <w:r w:rsidR="00990AD6" w:rsidRPr="00990AD6">
        <w:rPr>
          <w:rFonts w:cs="Arial"/>
        </w:rPr>
        <w:t xml:space="preserve">relating to units </w:t>
      </w:r>
      <w:r w:rsidRPr="00990AD6">
        <w:rPr>
          <w:rFonts w:cs="Arial"/>
        </w:rPr>
        <w:t>within the existing Westgate Centre</w:t>
      </w:r>
      <w:r w:rsidR="00990AD6" w:rsidRPr="00990AD6">
        <w:rPr>
          <w:rFonts w:cs="Arial"/>
        </w:rPr>
        <w:t xml:space="preserve">, </w:t>
      </w:r>
      <w:r w:rsidRPr="00990AD6">
        <w:rPr>
          <w:rFonts w:cs="Arial"/>
        </w:rPr>
        <w:t xml:space="preserve">the Library, </w:t>
      </w:r>
      <w:r w:rsidR="00990AD6" w:rsidRPr="00990AD6">
        <w:rPr>
          <w:rFonts w:cs="Arial"/>
        </w:rPr>
        <w:t xml:space="preserve">the </w:t>
      </w:r>
      <w:r w:rsidRPr="00990AD6">
        <w:rPr>
          <w:rFonts w:cs="Arial"/>
        </w:rPr>
        <w:t xml:space="preserve">City College and </w:t>
      </w:r>
      <w:r w:rsidR="00990AD6">
        <w:rPr>
          <w:rFonts w:cs="Arial"/>
        </w:rPr>
        <w:t xml:space="preserve">rights to light which benefit </w:t>
      </w:r>
      <w:r w:rsidRPr="00990AD6">
        <w:rPr>
          <w:rFonts w:cs="Arial"/>
        </w:rPr>
        <w:t xml:space="preserve">a number of properties </w:t>
      </w:r>
      <w:r w:rsidR="00990AD6">
        <w:rPr>
          <w:rFonts w:cs="Arial"/>
        </w:rPr>
        <w:t>adjacent to the scheme.</w:t>
      </w:r>
      <w:r w:rsidRPr="00990AD6">
        <w:rPr>
          <w:rFonts w:cs="Arial"/>
        </w:rPr>
        <w:t xml:space="preserve"> </w:t>
      </w:r>
      <w:r w:rsidR="00990AD6" w:rsidRPr="00990AD6">
        <w:rPr>
          <w:rFonts w:cs="Arial"/>
        </w:rPr>
        <w:t xml:space="preserve">   The areas affected by such rights are described in more detail below. </w:t>
      </w:r>
      <w:r w:rsidR="002E2E89" w:rsidRPr="00990AD6">
        <w:rPr>
          <w:rFonts w:cs="Arial"/>
        </w:rPr>
        <w:t xml:space="preserve">Reference to an ‘Area’ is to an Area shown on the </w:t>
      </w:r>
      <w:r w:rsidR="00076AF9" w:rsidRPr="00990AD6">
        <w:rPr>
          <w:rFonts w:cs="Arial"/>
        </w:rPr>
        <w:t xml:space="preserve">Appropriation </w:t>
      </w:r>
      <w:r w:rsidR="000C7F2B" w:rsidRPr="00990AD6">
        <w:rPr>
          <w:rFonts w:cs="Arial"/>
        </w:rPr>
        <w:t>P</w:t>
      </w:r>
      <w:r w:rsidR="002E2E89" w:rsidRPr="00990AD6">
        <w:rPr>
          <w:rFonts w:cs="Arial"/>
        </w:rPr>
        <w:t xml:space="preserve">lan.  </w:t>
      </w:r>
    </w:p>
    <w:p w:rsidR="00401D6F" w:rsidRDefault="00401D6F" w:rsidP="005D3AAD">
      <w:pPr>
        <w:ind w:left="720" w:hanging="720"/>
        <w:jc w:val="both"/>
        <w:rPr>
          <w:rFonts w:cs="Arial"/>
          <w:b/>
        </w:rPr>
      </w:pPr>
    </w:p>
    <w:p w:rsidR="00401D6F" w:rsidRPr="00401D6F" w:rsidRDefault="00401D6F" w:rsidP="00401D6F">
      <w:pPr>
        <w:ind w:left="720"/>
        <w:jc w:val="both"/>
        <w:rPr>
          <w:rFonts w:cs="Arial"/>
          <w:i/>
        </w:rPr>
      </w:pPr>
      <w:r w:rsidRPr="00401D6F">
        <w:rPr>
          <w:rFonts w:cs="Arial"/>
          <w:i/>
        </w:rPr>
        <w:t>Area A</w:t>
      </w:r>
    </w:p>
    <w:p w:rsidR="00E70123" w:rsidRPr="002E17B2" w:rsidRDefault="00E70123" w:rsidP="005D3AAD">
      <w:pPr>
        <w:ind w:left="720" w:hanging="720"/>
        <w:jc w:val="both"/>
        <w:rPr>
          <w:rFonts w:cs="Arial"/>
          <w:b/>
        </w:rPr>
      </w:pPr>
    </w:p>
    <w:p w:rsidR="004A7564" w:rsidRDefault="008257A8" w:rsidP="00401D6F">
      <w:pPr>
        <w:pStyle w:val="ListParagraph"/>
        <w:numPr>
          <w:ilvl w:val="0"/>
          <w:numId w:val="5"/>
        </w:numPr>
        <w:jc w:val="both"/>
        <w:rPr>
          <w:rFonts w:cs="Arial"/>
        </w:rPr>
      </w:pPr>
      <w:r>
        <w:rPr>
          <w:rFonts w:cs="Arial"/>
        </w:rPr>
        <w:t xml:space="preserve">In </w:t>
      </w:r>
      <w:r w:rsidR="004A7564">
        <w:rPr>
          <w:rFonts w:cs="Arial"/>
        </w:rPr>
        <w:t xml:space="preserve">1968, </w:t>
      </w:r>
      <w:r w:rsidR="003C1572">
        <w:rPr>
          <w:rFonts w:cs="Arial"/>
        </w:rPr>
        <w:t>Area A</w:t>
      </w:r>
      <w:r w:rsidR="004A7564">
        <w:rPr>
          <w:rFonts w:cs="Arial"/>
        </w:rPr>
        <w:t xml:space="preserve"> (</w:t>
      </w:r>
      <w:r w:rsidR="003C1572">
        <w:rPr>
          <w:rFonts w:cs="Arial"/>
        </w:rPr>
        <w:t xml:space="preserve">which includes the </w:t>
      </w:r>
      <w:r w:rsidR="00401D6F" w:rsidRPr="00401D6F">
        <w:rPr>
          <w:rFonts w:cs="Arial"/>
        </w:rPr>
        <w:t xml:space="preserve">land upon which the existing </w:t>
      </w:r>
      <w:r w:rsidR="00BE612B">
        <w:rPr>
          <w:rFonts w:cs="Arial"/>
        </w:rPr>
        <w:t>s</w:t>
      </w:r>
      <w:r w:rsidR="00401D6F" w:rsidRPr="00401D6F">
        <w:rPr>
          <w:rFonts w:cs="Arial"/>
        </w:rPr>
        <w:t xml:space="preserve">hopping </w:t>
      </w:r>
      <w:r w:rsidR="00BE612B">
        <w:rPr>
          <w:rFonts w:cs="Arial"/>
        </w:rPr>
        <w:t>c</w:t>
      </w:r>
      <w:r w:rsidR="00401D6F" w:rsidRPr="00401D6F">
        <w:rPr>
          <w:rFonts w:cs="Arial"/>
        </w:rPr>
        <w:t>entre and the adjacent multi storey car park are built</w:t>
      </w:r>
      <w:r w:rsidR="004A7564">
        <w:rPr>
          <w:rFonts w:cs="Arial"/>
        </w:rPr>
        <w:t>)</w:t>
      </w:r>
      <w:r w:rsidR="00401D6F" w:rsidRPr="00401D6F">
        <w:rPr>
          <w:rFonts w:cs="Arial"/>
        </w:rPr>
        <w:t xml:space="preserve"> was appropriated from Highways Sewers and Lighting Committee to the Central Area Redevelopment Committee expressly ‘for planning purposes’.  The subsequent endorsement of that decision by Full Council in October 1968 notes that the land appropriated was required ‘for closing certain roads and for Westgate Shopping Centre’. </w:t>
      </w:r>
    </w:p>
    <w:p w:rsidR="004A7564" w:rsidRDefault="004A7564" w:rsidP="004A7564">
      <w:pPr>
        <w:pStyle w:val="ListParagraph"/>
        <w:ind w:left="680"/>
        <w:jc w:val="both"/>
        <w:rPr>
          <w:rFonts w:cs="Arial"/>
        </w:rPr>
      </w:pPr>
    </w:p>
    <w:p w:rsidR="007F27AB" w:rsidRPr="00924B3E" w:rsidRDefault="00401D6F" w:rsidP="007F27AB">
      <w:pPr>
        <w:pStyle w:val="ListParagraph"/>
        <w:numPr>
          <w:ilvl w:val="0"/>
          <w:numId w:val="5"/>
        </w:numPr>
        <w:jc w:val="both"/>
        <w:rPr>
          <w:rFonts w:cs="Arial"/>
        </w:rPr>
      </w:pPr>
      <w:r w:rsidRPr="00924B3E">
        <w:rPr>
          <w:rFonts w:cs="Arial"/>
        </w:rPr>
        <w:t xml:space="preserve">No further appropriation </w:t>
      </w:r>
      <w:r w:rsidR="00BE612B" w:rsidRPr="00924B3E">
        <w:rPr>
          <w:rFonts w:cs="Arial"/>
        </w:rPr>
        <w:t xml:space="preserve">by the Council </w:t>
      </w:r>
      <w:r w:rsidRPr="00924B3E">
        <w:rPr>
          <w:rFonts w:cs="Arial"/>
        </w:rPr>
        <w:t>has taken place since the</w:t>
      </w:r>
      <w:r w:rsidR="00BE612B" w:rsidRPr="00924B3E">
        <w:rPr>
          <w:rFonts w:cs="Arial"/>
        </w:rPr>
        <w:t xml:space="preserve"> original 1968 appropriation</w:t>
      </w:r>
      <w:r w:rsidRPr="00924B3E">
        <w:rPr>
          <w:rFonts w:cs="Arial"/>
        </w:rPr>
        <w:t xml:space="preserve">. </w:t>
      </w:r>
      <w:r w:rsidR="00924B3E" w:rsidRPr="00924B3E">
        <w:rPr>
          <w:rFonts w:cs="Arial"/>
        </w:rPr>
        <w:t xml:space="preserve"> </w:t>
      </w:r>
      <w:r w:rsidR="00924B3E">
        <w:rPr>
          <w:rFonts w:cs="Arial"/>
        </w:rPr>
        <w:t xml:space="preserve"> </w:t>
      </w:r>
      <w:r w:rsidR="00DB2747" w:rsidRPr="00924B3E">
        <w:rPr>
          <w:rFonts w:cs="Arial"/>
        </w:rPr>
        <w:t xml:space="preserve">The Council’s freehold interest in </w:t>
      </w:r>
      <w:r w:rsidR="00492F36" w:rsidRPr="00924B3E">
        <w:rPr>
          <w:rFonts w:cs="Arial"/>
        </w:rPr>
        <w:t xml:space="preserve">Area A </w:t>
      </w:r>
      <w:r w:rsidR="004A7564" w:rsidRPr="00924B3E">
        <w:rPr>
          <w:rFonts w:cs="Arial"/>
        </w:rPr>
        <w:t xml:space="preserve">is thus </w:t>
      </w:r>
      <w:r w:rsidR="00492F36" w:rsidRPr="00924B3E">
        <w:rPr>
          <w:rFonts w:cs="Arial"/>
        </w:rPr>
        <w:t>already held for planning purposes</w:t>
      </w:r>
      <w:r w:rsidR="00B05461" w:rsidRPr="00924B3E">
        <w:rPr>
          <w:rFonts w:cs="Arial"/>
        </w:rPr>
        <w:t xml:space="preserve"> connected with the shopping centre. </w:t>
      </w:r>
    </w:p>
    <w:p w:rsidR="00FC0256" w:rsidRPr="00924B3E" w:rsidRDefault="00FC0256" w:rsidP="00924B3E">
      <w:pPr>
        <w:rPr>
          <w:rFonts w:cs="Arial"/>
        </w:rPr>
      </w:pPr>
    </w:p>
    <w:p w:rsidR="007F27AB" w:rsidRDefault="007F27AB" w:rsidP="007F27AB">
      <w:pPr>
        <w:pStyle w:val="ListParagraph"/>
        <w:numPr>
          <w:ilvl w:val="0"/>
          <w:numId w:val="5"/>
        </w:numPr>
        <w:jc w:val="both"/>
        <w:rPr>
          <w:rFonts w:cs="Arial"/>
        </w:rPr>
      </w:pPr>
      <w:r>
        <w:rPr>
          <w:rFonts w:cs="Arial"/>
        </w:rPr>
        <w:t xml:space="preserve">As the </w:t>
      </w:r>
      <w:r w:rsidR="00B05461">
        <w:rPr>
          <w:rFonts w:cs="Arial"/>
        </w:rPr>
        <w:t xml:space="preserve">re-development involves renewing parts of the shopping centre and bringing it up to date </w:t>
      </w:r>
      <w:r w:rsidR="008E0C7C">
        <w:rPr>
          <w:rFonts w:cs="Arial"/>
        </w:rPr>
        <w:t xml:space="preserve">generally, </w:t>
      </w:r>
      <w:r w:rsidR="00B05461">
        <w:rPr>
          <w:rFonts w:cs="Arial"/>
        </w:rPr>
        <w:t>it is considered that the re-development is within the aegis of the original appropriation</w:t>
      </w:r>
      <w:r w:rsidR="008E0C7C">
        <w:rPr>
          <w:rFonts w:cs="Arial"/>
        </w:rPr>
        <w:t xml:space="preserve"> and </w:t>
      </w:r>
      <w:r w:rsidR="00BE612B">
        <w:rPr>
          <w:rFonts w:cs="Arial"/>
        </w:rPr>
        <w:t xml:space="preserve">that </w:t>
      </w:r>
      <w:r w:rsidR="00A03C52">
        <w:rPr>
          <w:rFonts w:cs="Arial"/>
        </w:rPr>
        <w:t xml:space="preserve">the protection in </w:t>
      </w:r>
      <w:r w:rsidR="00BE612B">
        <w:rPr>
          <w:rFonts w:cs="Arial"/>
        </w:rPr>
        <w:t xml:space="preserve">s237 </w:t>
      </w:r>
      <w:r w:rsidR="00A03C52">
        <w:rPr>
          <w:rFonts w:cs="Arial"/>
        </w:rPr>
        <w:t xml:space="preserve">already applies </w:t>
      </w:r>
      <w:r w:rsidR="00FC0256">
        <w:rPr>
          <w:rFonts w:cs="Arial"/>
        </w:rPr>
        <w:t xml:space="preserve">(and will </w:t>
      </w:r>
      <w:r w:rsidR="00A03C52">
        <w:rPr>
          <w:rFonts w:cs="Arial"/>
        </w:rPr>
        <w:t xml:space="preserve">apply to WOALP following the grant of the </w:t>
      </w:r>
      <w:r w:rsidR="00FC0256">
        <w:rPr>
          <w:rFonts w:cs="Arial"/>
        </w:rPr>
        <w:t xml:space="preserve">long lease) </w:t>
      </w:r>
      <w:r w:rsidR="00BE612B">
        <w:rPr>
          <w:rFonts w:cs="Arial"/>
        </w:rPr>
        <w:t xml:space="preserve">without the need for further action. </w:t>
      </w:r>
    </w:p>
    <w:p w:rsidR="0098069E" w:rsidRPr="0098069E" w:rsidRDefault="0098069E" w:rsidP="0098069E">
      <w:pPr>
        <w:pStyle w:val="ListParagraph"/>
        <w:rPr>
          <w:rFonts w:cs="Arial"/>
        </w:rPr>
      </w:pPr>
    </w:p>
    <w:p w:rsidR="00401D6F" w:rsidRPr="00401D6F" w:rsidRDefault="00401D6F" w:rsidP="00401D6F">
      <w:pPr>
        <w:ind w:left="680"/>
        <w:jc w:val="both"/>
        <w:rPr>
          <w:rFonts w:cs="Arial"/>
          <w:i/>
        </w:rPr>
      </w:pPr>
      <w:r w:rsidRPr="00401D6F">
        <w:rPr>
          <w:rFonts w:cs="Arial"/>
          <w:i/>
        </w:rPr>
        <w:t>Area B</w:t>
      </w:r>
    </w:p>
    <w:p w:rsidR="00492F36" w:rsidRDefault="00492F36" w:rsidP="00492F36">
      <w:pPr>
        <w:pStyle w:val="ListParagraph"/>
        <w:ind w:left="680"/>
        <w:jc w:val="both"/>
        <w:rPr>
          <w:rFonts w:cs="Arial"/>
        </w:rPr>
      </w:pPr>
    </w:p>
    <w:p w:rsidR="00B0582B" w:rsidRDefault="00835A5E" w:rsidP="00835A5E">
      <w:pPr>
        <w:pStyle w:val="ListParagraph"/>
        <w:numPr>
          <w:ilvl w:val="0"/>
          <w:numId w:val="5"/>
        </w:numPr>
        <w:jc w:val="both"/>
        <w:rPr>
          <w:rFonts w:cs="Arial"/>
        </w:rPr>
      </w:pPr>
      <w:r w:rsidRPr="00835A5E">
        <w:rPr>
          <w:rFonts w:cs="Arial"/>
        </w:rPr>
        <w:t>Area B on the Appropriation Plan includes areas of public highway adjoining the shopping centre and the multi-storey car park and the surface area car parks adjacent to the south of the existing shopping centre.   This area is in the freehold ownership of the Council and the Council’s records indicate that it is held for general municipal purposes.  Also included are some parcels of unregistered land, title to which is in the process of being registered to the Council.</w:t>
      </w:r>
      <w:r>
        <w:rPr>
          <w:rFonts w:cs="Arial"/>
        </w:rPr>
        <w:t xml:space="preserve"> </w:t>
      </w:r>
    </w:p>
    <w:p w:rsidR="00B0582B" w:rsidRPr="000F5DE7" w:rsidRDefault="00B0582B" w:rsidP="000F5DE7">
      <w:pPr>
        <w:jc w:val="both"/>
        <w:rPr>
          <w:rFonts w:cs="Arial"/>
        </w:rPr>
      </w:pPr>
    </w:p>
    <w:p w:rsidR="00A93E17" w:rsidRPr="00A93E17" w:rsidRDefault="00B0582B" w:rsidP="000F5DE7">
      <w:pPr>
        <w:pStyle w:val="ListParagraph"/>
        <w:numPr>
          <w:ilvl w:val="0"/>
          <w:numId w:val="5"/>
        </w:numPr>
        <w:jc w:val="both"/>
        <w:rPr>
          <w:rFonts w:cs="Arial"/>
        </w:rPr>
      </w:pPr>
      <w:r>
        <w:rPr>
          <w:rFonts w:cs="Arial"/>
        </w:rPr>
        <w:t>Th</w:t>
      </w:r>
      <w:r w:rsidR="00A93E17">
        <w:rPr>
          <w:rFonts w:cs="Arial"/>
        </w:rPr>
        <w:t xml:space="preserve">e third party rights over </w:t>
      </w:r>
      <w:r w:rsidR="00FC0256">
        <w:rPr>
          <w:rFonts w:cs="Arial"/>
        </w:rPr>
        <w:t>A</w:t>
      </w:r>
      <w:r w:rsidR="00A93E17">
        <w:rPr>
          <w:rFonts w:cs="Arial"/>
        </w:rPr>
        <w:t xml:space="preserve">rea </w:t>
      </w:r>
      <w:r w:rsidR="00FC0256">
        <w:rPr>
          <w:rFonts w:cs="Arial"/>
        </w:rPr>
        <w:t xml:space="preserve">B </w:t>
      </w:r>
      <w:r w:rsidR="00A93E17">
        <w:rPr>
          <w:rFonts w:cs="Arial"/>
        </w:rPr>
        <w:t>include rights benefitting the Library’s land</w:t>
      </w:r>
      <w:r w:rsidR="00576A22">
        <w:rPr>
          <w:rFonts w:cs="Arial"/>
        </w:rPr>
        <w:t xml:space="preserve">, </w:t>
      </w:r>
      <w:r w:rsidR="00A93E17">
        <w:rPr>
          <w:rFonts w:cs="Arial"/>
        </w:rPr>
        <w:t>the City College</w:t>
      </w:r>
      <w:r w:rsidR="00576A22">
        <w:rPr>
          <w:rFonts w:cs="Arial"/>
        </w:rPr>
        <w:t xml:space="preserve"> and </w:t>
      </w:r>
      <w:r w:rsidR="00FC0256">
        <w:rPr>
          <w:rFonts w:cs="Arial"/>
        </w:rPr>
        <w:t xml:space="preserve">rights to light in favour of </w:t>
      </w:r>
      <w:r w:rsidR="00576A22">
        <w:rPr>
          <w:rFonts w:cs="Arial"/>
        </w:rPr>
        <w:t>a number of residential properties in Tennyson Lodge and Faulkner Street</w:t>
      </w:r>
      <w:r w:rsidR="00A93E17">
        <w:rPr>
          <w:rFonts w:cs="Arial"/>
        </w:rPr>
        <w:t xml:space="preserve">. </w:t>
      </w:r>
    </w:p>
    <w:p w:rsidR="00A93E17" w:rsidRPr="00A93E17" w:rsidRDefault="00A93E17" w:rsidP="00A93E17">
      <w:pPr>
        <w:pStyle w:val="ListParagraph"/>
        <w:ind w:left="680"/>
        <w:jc w:val="both"/>
        <w:rPr>
          <w:rFonts w:cs="Arial"/>
        </w:rPr>
      </w:pPr>
    </w:p>
    <w:p w:rsidR="00DB2747" w:rsidRDefault="00DB2747" w:rsidP="000F5DE7">
      <w:pPr>
        <w:pStyle w:val="ListParagraph"/>
        <w:numPr>
          <w:ilvl w:val="0"/>
          <w:numId w:val="5"/>
        </w:numPr>
        <w:jc w:val="both"/>
        <w:rPr>
          <w:rFonts w:cs="Arial"/>
        </w:rPr>
      </w:pPr>
      <w:r w:rsidRPr="00D75AB2">
        <w:rPr>
          <w:rFonts w:cs="Arial"/>
        </w:rPr>
        <w:t xml:space="preserve">If </w:t>
      </w:r>
      <w:r w:rsidR="00D75AB2">
        <w:rPr>
          <w:rFonts w:cs="Arial"/>
        </w:rPr>
        <w:t>s</w:t>
      </w:r>
      <w:r w:rsidRPr="00D75AB2">
        <w:rPr>
          <w:rFonts w:cs="Arial"/>
        </w:rPr>
        <w:t xml:space="preserve">237 is to be engaged in relation to this area, </w:t>
      </w:r>
      <w:r w:rsidR="00A10176" w:rsidRPr="00D75AB2">
        <w:rPr>
          <w:rFonts w:cs="Arial"/>
        </w:rPr>
        <w:t xml:space="preserve">the land </w:t>
      </w:r>
      <w:r w:rsidRPr="00D75AB2">
        <w:rPr>
          <w:rFonts w:cs="Arial"/>
        </w:rPr>
        <w:t xml:space="preserve">would </w:t>
      </w:r>
      <w:r w:rsidR="0098069E">
        <w:rPr>
          <w:rFonts w:cs="Arial"/>
        </w:rPr>
        <w:t xml:space="preserve">first </w:t>
      </w:r>
      <w:r w:rsidRPr="00D75AB2">
        <w:rPr>
          <w:rFonts w:cs="Arial"/>
        </w:rPr>
        <w:t>need to be appropriated by the Council.</w:t>
      </w:r>
    </w:p>
    <w:p w:rsidR="00BE612B" w:rsidRDefault="00BE612B" w:rsidP="00BE612B">
      <w:pPr>
        <w:jc w:val="both"/>
        <w:rPr>
          <w:rFonts w:cs="Arial"/>
        </w:rPr>
      </w:pPr>
    </w:p>
    <w:p w:rsidR="00401D6F" w:rsidRPr="00401D6F" w:rsidRDefault="00401D6F" w:rsidP="00401D6F">
      <w:pPr>
        <w:ind w:left="680"/>
        <w:jc w:val="both"/>
        <w:rPr>
          <w:rFonts w:cs="Arial"/>
          <w:i/>
        </w:rPr>
      </w:pPr>
      <w:r w:rsidRPr="00401D6F">
        <w:rPr>
          <w:rFonts w:cs="Arial"/>
          <w:i/>
        </w:rPr>
        <w:t>Area C</w:t>
      </w:r>
    </w:p>
    <w:p w:rsidR="00DB2747" w:rsidRPr="00DB2747" w:rsidRDefault="00DB2747" w:rsidP="00DB2747">
      <w:pPr>
        <w:pStyle w:val="ListParagraph"/>
        <w:rPr>
          <w:rFonts w:cs="Arial"/>
        </w:rPr>
      </w:pPr>
    </w:p>
    <w:p w:rsidR="002E2E89" w:rsidRDefault="00292967" w:rsidP="00A9446D">
      <w:pPr>
        <w:pStyle w:val="ListParagraph"/>
        <w:numPr>
          <w:ilvl w:val="0"/>
          <w:numId w:val="5"/>
        </w:numPr>
        <w:jc w:val="both"/>
        <w:rPr>
          <w:rFonts w:cs="Arial"/>
        </w:rPr>
      </w:pPr>
      <w:r>
        <w:rPr>
          <w:rFonts w:cs="Arial"/>
        </w:rPr>
        <w:t xml:space="preserve">WOALP own the </w:t>
      </w:r>
      <w:r w:rsidR="001B5ECD">
        <w:rPr>
          <w:rFonts w:cs="Arial"/>
        </w:rPr>
        <w:t>freehold interest in Area</w:t>
      </w:r>
      <w:r w:rsidR="00FC0256">
        <w:rPr>
          <w:rFonts w:cs="Arial"/>
        </w:rPr>
        <w:t xml:space="preserve"> C</w:t>
      </w:r>
      <w:r w:rsidR="001B5ECD">
        <w:rPr>
          <w:rFonts w:cs="Arial"/>
        </w:rPr>
        <w:t xml:space="preserve">.  </w:t>
      </w:r>
      <w:r w:rsidR="002E2E89">
        <w:rPr>
          <w:rFonts w:cs="Arial"/>
        </w:rPr>
        <w:t xml:space="preserve">The third party rights over this area include </w:t>
      </w:r>
      <w:r w:rsidR="000F5DE7">
        <w:rPr>
          <w:rFonts w:cs="Arial"/>
        </w:rPr>
        <w:t>rights benefitting units forming part of the existing shopping centre but which are not within Area A.</w:t>
      </w:r>
      <w:r w:rsidR="00FC0256">
        <w:rPr>
          <w:rFonts w:cs="Arial"/>
        </w:rPr>
        <w:t xml:space="preserve">  These comprise the units occupied by New Look and Goldsmiths.</w:t>
      </w:r>
      <w:r w:rsidR="000F5DE7">
        <w:rPr>
          <w:rFonts w:cs="Arial"/>
        </w:rPr>
        <w:t xml:space="preserve"> </w:t>
      </w:r>
    </w:p>
    <w:p w:rsidR="002E2E89" w:rsidRDefault="002E2E89" w:rsidP="002E2E89">
      <w:pPr>
        <w:pStyle w:val="ListParagraph"/>
        <w:ind w:left="680"/>
        <w:jc w:val="both"/>
        <w:rPr>
          <w:rFonts w:cs="Arial"/>
        </w:rPr>
      </w:pPr>
    </w:p>
    <w:p w:rsidR="002E2E89" w:rsidRDefault="00292967" w:rsidP="00A9446D">
      <w:pPr>
        <w:pStyle w:val="ListParagraph"/>
        <w:numPr>
          <w:ilvl w:val="0"/>
          <w:numId w:val="5"/>
        </w:numPr>
        <w:jc w:val="both"/>
        <w:rPr>
          <w:rFonts w:cs="Arial"/>
        </w:rPr>
      </w:pPr>
      <w:r>
        <w:rPr>
          <w:rFonts w:cs="Arial"/>
        </w:rPr>
        <w:t>So</w:t>
      </w:r>
      <w:r w:rsidR="001B5ECD">
        <w:rPr>
          <w:rFonts w:cs="Arial"/>
        </w:rPr>
        <w:t xml:space="preserve"> far as can be ascertained, some </w:t>
      </w:r>
      <w:r w:rsidR="00D164C9">
        <w:rPr>
          <w:rFonts w:cs="Arial"/>
        </w:rPr>
        <w:t xml:space="preserve">(but not all) </w:t>
      </w:r>
      <w:r w:rsidR="001B5ECD">
        <w:rPr>
          <w:rFonts w:cs="Arial"/>
        </w:rPr>
        <w:t xml:space="preserve">of </w:t>
      </w:r>
      <w:r w:rsidR="00FC0256">
        <w:rPr>
          <w:rFonts w:cs="Arial"/>
        </w:rPr>
        <w:t xml:space="preserve">Area C </w:t>
      </w:r>
      <w:r w:rsidR="001B5ECD">
        <w:rPr>
          <w:rFonts w:cs="Arial"/>
        </w:rPr>
        <w:t xml:space="preserve">was </w:t>
      </w:r>
      <w:r>
        <w:rPr>
          <w:rFonts w:cs="Arial"/>
        </w:rPr>
        <w:t xml:space="preserve">previously in the ownership of the Council </w:t>
      </w:r>
      <w:r w:rsidR="001B5ECD">
        <w:rPr>
          <w:rFonts w:cs="Arial"/>
        </w:rPr>
        <w:t xml:space="preserve">having been acquired in the ‘shadow’ of the </w:t>
      </w:r>
      <w:r w:rsidR="00FC0256">
        <w:rPr>
          <w:rFonts w:cs="Arial"/>
        </w:rPr>
        <w:t xml:space="preserve">2007 </w:t>
      </w:r>
      <w:r w:rsidR="001B5ECD">
        <w:rPr>
          <w:rFonts w:cs="Arial"/>
        </w:rPr>
        <w:t>CPO</w:t>
      </w:r>
      <w:r w:rsidR="00FC0256">
        <w:rPr>
          <w:rFonts w:cs="Arial"/>
        </w:rPr>
        <w:t xml:space="preserve">.  </w:t>
      </w:r>
      <w:r w:rsidR="00D164C9">
        <w:rPr>
          <w:rFonts w:cs="Arial"/>
        </w:rPr>
        <w:t xml:space="preserve">It was then transferred to the previous developer and then on to WOALP.  </w:t>
      </w:r>
      <w:r w:rsidR="001B5ECD">
        <w:rPr>
          <w:rFonts w:cs="Arial"/>
        </w:rPr>
        <w:t xml:space="preserve"> </w:t>
      </w:r>
      <w:r w:rsidR="008B73CA">
        <w:rPr>
          <w:rFonts w:cs="Arial"/>
        </w:rPr>
        <w:t xml:space="preserve">It is unclear whether the land acquired by the Council was acquired for planning purposes, and so whether s237 might already be engaged in respect of that land. </w:t>
      </w:r>
    </w:p>
    <w:p w:rsidR="002E2E89" w:rsidRPr="002E2E89" w:rsidRDefault="002E2E89" w:rsidP="002E2E89">
      <w:pPr>
        <w:pStyle w:val="ListParagraph"/>
        <w:rPr>
          <w:rFonts w:cs="Arial"/>
        </w:rPr>
      </w:pPr>
    </w:p>
    <w:p w:rsidR="00DB2747" w:rsidRDefault="00A03C52" w:rsidP="00A9446D">
      <w:pPr>
        <w:pStyle w:val="ListParagraph"/>
        <w:numPr>
          <w:ilvl w:val="0"/>
          <w:numId w:val="5"/>
        </w:numPr>
        <w:jc w:val="both"/>
        <w:rPr>
          <w:rFonts w:cs="Arial"/>
        </w:rPr>
      </w:pPr>
      <w:r>
        <w:rPr>
          <w:rFonts w:cs="Arial"/>
        </w:rPr>
        <w:t xml:space="preserve">However, </w:t>
      </w:r>
      <w:r w:rsidR="008B73CA">
        <w:rPr>
          <w:rFonts w:cs="Arial"/>
        </w:rPr>
        <w:t xml:space="preserve">the </w:t>
      </w:r>
      <w:r w:rsidR="0066642E">
        <w:rPr>
          <w:rFonts w:cs="Arial"/>
        </w:rPr>
        <w:t xml:space="preserve">Development Agreement </w:t>
      </w:r>
      <w:r w:rsidR="001B5ECD">
        <w:rPr>
          <w:rFonts w:cs="Arial"/>
        </w:rPr>
        <w:t xml:space="preserve">entered into with the Council requires </w:t>
      </w:r>
      <w:r w:rsidR="0066642E">
        <w:rPr>
          <w:rFonts w:cs="Arial"/>
        </w:rPr>
        <w:t xml:space="preserve">that WOALP’s interests within the </w:t>
      </w:r>
      <w:r w:rsidR="008B73CA">
        <w:rPr>
          <w:rFonts w:cs="Arial"/>
        </w:rPr>
        <w:t xml:space="preserve">Site </w:t>
      </w:r>
      <w:r w:rsidR="00D073DA">
        <w:rPr>
          <w:rFonts w:cs="Arial"/>
        </w:rPr>
        <w:t xml:space="preserve">are </w:t>
      </w:r>
      <w:r w:rsidR="008B73CA">
        <w:rPr>
          <w:rFonts w:cs="Arial"/>
        </w:rPr>
        <w:t xml:space="preserve">to be transferred to the Council and </w:t>
      </w:r>
      <w:r w:rsidR="00924B3E">
        <w:rPr>
          <w:rFonts w:cs="Arial"/>
        </w:rPr>
        <w:t xml:space="preserve">that a </w:t>
      </w:r>
      <w:r w:rsidR="008B73CA">
        <w:rPr>
          <w:rFonts w:cs="Arial"/>
        </w:rPr>
        <w:t xml:space="preserve">long lease of the whole </w:t>
      </w:r>
      <w:r w:rsidR="00D073DA">
        <w:rPr>
          <w:rFonts w:cs="Arial"/>
        </w:rPr>
        <w:t xml:space="preserve">Site </w:t>
      </w:r>
      <w:r w:rsidR="00924B3E">
        <w:rPr>
          <w:rFonts w:cs="Arial"/>
        </w:rPr>
        <w:t xml:space="preserve">will then </w:t>
      </w:r>
      <w:r w:rsidR="008B73CA">
        <w:rPr>
          <w:rFonts w:cs="Arial"/>
        </w:rPr>
        <w:t>be granted</w:t>
      </w:r>
      <w:r w:rsidR="00D073DA">
        <w:rPr>
          <w:rFonts w:cs="Arial"/>
        </w:rPr>
        <w:t xml:space="preserve"> by the Council to WOALP</w:t>
      </w:r>
      <w:r w:rsidR="008B73CA">
        <w:rPr>
          <w:rFonts w:cs="Arial"/>
        </w:rPr>
        <w:t>.   Given the acquisition by the Council is related to the re-development</w:t>
      </w:r>
      <w:r w:rsidR="00D073DA">
        <w:rPr>
          <w:rFonts w:cs="Arial"/>
        </w:rPr>
        <w:t xml:space="preserve"> scheme</w:t>
      </w:r>
      <w:r w:rsidR="008B73CA">
        <w:rPr>
          <w:rFonts w:cs="Arial"/>
        </w:rPr>
        <w:t xml:space="preserve">, then the appropriate power of acquisition will be for planning purposes as provided for in s227 of the 1990 Act.    If the land is acquired for such purposes, then assuming the requirements of the section are otherwise satisfied, s237 would </w:t>
      </w:r>
      <w:r w:rsidR="00332CE1">
        <w:rPr>
          <w:rFonts w:cs="Arial"/>
        </w:rPr>
        <w:t>enable WOALP to carry out works pursuant to the planning permission notwithstanding those works interfered with third party rights.</w:t>
      </w:r>
    </w:p>
    <w:p w:rsidR="00B05461" w:rsidRDefault="00B05461" w:rsidP="00B05461">
      <w:pPr>
        <w:jc w:val="both"/>
        <w:rPr>
          <w:rFonts w:cs="Arial"/>
        </w:rPr>
      </w:pPr>
    </w:p>
    <w:p w:rsidR="00B05461" w:rsidRDefault="00B05461" w:rsidP="00B05461">
      <w:pPr>
        <w:jc w:val="both"/>
        <w:rPr>
          <w:rFonts w:cs="Arial"/>
          <w:b/>
        </w:rPr>
      </w:pPr>
      <w:r w:rsidRPr="00B05461">
        <w:rPr>
          <w:rFonts w:cs="Arial"/>
          <w:b/>
        </w:rPr>
        <w:t>Statutory Powers relating to appropriation/acquisition</w:t>
      </w:r>
    </w:p>
    <w:p w:rsidR="00CE11F1" w:rsidRDefault="00CE11F1" w:rsidP="00B05461">
      <w:pPr>
        <w:jc w:val="both"/>
        <w:rPr>
          <w:rFonts w:cs="Arial"/>
          <w:b/>
        </w:rPr>
      </w:pPr>
    </w:p>
    <w:p w:rsidR="00B50D14" w:rsidRDefault="006917A6" w:rsidP="00627E3E">
      <w:pPr>
        <w:pStyle w:val="ListParagraph"/>
        <w:numPr>
          <w:ilvl w:val="0"/>
          <w:numId w:val="5"/>
        </w:numPr>
        <w:jc w:val="both"/>
        <w:rPr>
          <w:rFonts w:cs="Arial"/>
        </w:rPr>
      </w:pPr>
      <w:r w:rsidRPr="00B50D14">
        <w:rPr>
          <w:rFonts w:cs="Arial"/>
        </w:rPr>
        <w:t xml:space="preserve">Section 122 </w:t>
      </w:r>
      <w:r w:rsidR="005D4717" w:rsidRPr="00B50D14">
        <w:rPr>
          <w:rFonts w:cs="Arial"/>
        </w:rPr>
        <w:t xml:space="preserve">of the Local Government Act 1972 </w:t>
      </w:r>
      <w:r w:rsidRPr="00B50D14">
        <w:rPr>
          <w:rFonts w:cs="Arial"/>
        </w:rPr>
        <w:t>gives local authorities power to appropriate land from one purpose to another.</w:t>
      </w:r>
      <w:r w:rsidR="00941624" w:rsidRPr="00B50D14">
        <w:rPr>
          <w:rFonts w:cs="Arial"/>
        </w:rPr>
        <w:t xml:space="preserve">  </w:t>
      </w:r>
      <w:r w:rsidR="00627E3E">
        <w:rPr>
          <w:rFonts w:cs="Arial"/>
        </w:rPr>
        <w:t>C</w:t>
      </w:r>
      <w:r w:rsidR="00627E3E" w:rsidRPr="00627E3E">
        <w:rPr>
          <w:rFonts w:cs="Arial"/>
        </w:rPr>
        <w:t xml:space="preserve">ase law has indicated that this is not simply a decision that land held for one purpose should now be held for </w:t>
      </w:r>
      <w:proofErr w:type="gramStart"/>
      <w:r w:rsidR="00627E3E" w:rsidRPr="00627E3E">
        <w:rPr>
          <w:rFonts w:cs="Arial"/>
        </w:rPr>
        <w:t>another  -</w:t>
      </w:r>
      <w:proofErr w:type="gramEnd"/>
      <w:r w:rsidR="00627E3E" w:rsidRPr="00627E3E">
        <w:rPr>
          <w:rFonts w:cs="Arial"/>
        </w:rPr>
        <w:t xml:space="preserve">  </w:t>
      </w:r>
      <w:r w:rsidR="00627E3E">
        <w:rPr>
          <w:rFonts w:cs="Arial"/>
        </w:rPr>
        <w:t xml:space="preserve">appropriation (and thus the matters to be taken into account) </w:t>
      </w:r>
      <w:r w:rsidR="00627E3E" w:rsidRPr="00627E3E">
        <w:rPr>
          <w:rFonts w:cs="Arial"/>
        </w:rPr>
        <w:t xml:space="preserve">has been aligned with </w:t>
      </w:r>
      <w:r w:rsidR="00627E3E">
        <w:rPr>
          <w:rFonts w:cs="Arial"/>
        </w:rPr>
        <w:t xml:space="preserve">the compulsory purchase process. </w:t>
      </w:r>
      <w:r w:rsidR="00627E3E" w:rsidRPr="00627E3E">
        <w:rPr>
          <w:rFonts w:cs="Arial"/>
        </w:rPr>
        <w:t xml:space="preserve"> </w:t>
      </w:r>
      <w:r w:rsidR="00627E3E">
        <w:rPr>
          <w:rFonts w:cs="Arial"/>
        </w:rPr>
        <w:t>Further, before appropriating</w:t>
      </w:r>
      <w:r w:rsidR="00A03C52">
        <w:rPr>
          <w:rFonts w:cs="Arial"/>
        </w:rPr>
        <w:t>/acquiring</w:t>
      </w:r>
      <w:r w:rsidR="00627E3E">
        <w:rPr>
          <w:rFonts w:cs="Arial"/>
        </w:rPr>
        <w:t xml:space="preserve"> to planning purposes, the requirements of s226 </w:t>
      </w:r>
      <w:r w:rsidR="00B50D14">
        <w:rPr>
          <w:rFonts w:cs="Arial"/>
        </w:rPr>
        <w:t xml:space="preserve">of the 1990 Act </w:t>
      </w:r>
      <w:r w:rsidR="00627E3E">
        <w:rPr>
          <w:rFonts w:cs="Arial"/>
        </w:rPr>
        <w:t>are required to be satisfied</w:t>
      </w:r>
      <w:r w:rsidR="00941624" w:rsidRPr="00B50D14">
        <w:rPr>
          <w:rFonts w:cs="Arial"/>
        </w:rPr>
        <w:t xml:space="preserve">. </w:t>
      </w:r>
      <w:r w:rsidR="00B50D14" w:rsidRPr="00B50D14">
        <w:rPr>
          <w:rFonts w:cs="Arial"/>
        </w:rPr>
        <w:t xml:space="preserve"> </w:t>
      </w:r>
    </w:p>
    <w:p w:rsidR="00B50D14" w:rsidRDefault="00B50D14" w:rsidP="00B50D14">
      <w:pPr>
        <w:pStyle w:val="ListParagraph"/>
        <w:ind w:left="680"/>
        <w:jc w:val="both"/>
        <w:rPr>
          <w:rFonts w:cs="Arial"/>
        </w:rPr>
      </w:pPr>
    </w:p>
    <w:p w:rsidR="007E700F" w:rsidRPr="00B50D14" w:rsidRDefault="00D073DA" w:rsidP="00505788">
      <w:pPr>
        <w:pStyle w:val="ListParagraph"/>
        <w:numPr>
          <w:ilvl w:val="0"/>
          <w:numId w:val="5"/>
        </w:numPr>
        <w:jc w:val="both"/>
        <w:rPr>
          <w:rFonts w:cs="Arial"/>
        </w:rPr>
      </w:pPr>
      <w:r>
        <w:rPr>
          <w:rFonts w:cs="Arial"/>
        </w:rPr>
        <w:t>B</w:t>
      </w:r>
      <w:r w:rsidR="00627E3E">
        <w:rPr>
          <w:rFonts w:cs="Arial"/>
        </w:rPr>
        <w:t xml:space="preserve">efore making any decision to appropriate </w:t>
      </w:r>
      <w:r w:rsidR="004C16E3">
        <w:rPr>
          <w:rFonts w:cs="Arial"/>
        </w:rPr>
        <w:t xml:space="preserve">Area </w:t>
      </w:r>
      <w:r w:rsidR="00DD1FF8">
        <w:rPr>
          <w:rFonts w:cs="Arial"/>
        </w:rPr>
        <w:t>B</w:t>
      </w:r>
      <w:r w:rsidR="004C16E3">
        <w:rPr>
          <w:rFonts w:cs="Arial"/>
        </w:rPr>
        <w:t xml:space="preserve"> </w:t>
      </w:r>
      <w:r w:rsidR="00627E3E">
        <w:rPr>
          <w:rFonts w:cs="Arial"/>
        </w:rPr>
        <w:t xml:space="preserve">to planning purposes in order </w:t>
      </w:r>
      <w:r w:rsidR="00332CE1">
        <w:rPr>
          <w:rFonts w:cs="Arial"/>
        </w:rPr>
        <w:t xml:space="preserve">to engage s237 </w:t>
      </w:r>
      <w:r w:rsidR="00627E3E">
        <w:rPr>
          <w:rFonts w:cs="Arial"/>
        </w:rPr>
        <w:t xml:space="preserve">and enable third party rights to be overridden, </w:t>
      </w:r>
      <w:r w:rsidR="00332CE1">
        <w:rPr>
          <w:rFonts w:cs="Arial"/>
        </w:rPr>
        <w:t xml:space="preserve">a </w:t>
      </w:r>
      <w:r w:rsidR="007E700F" w:rsidRPr="00B50D14">
        <w:rPr>
          <w:rFonts w:cs="Arial"/>
        </w:rPr>
        <w:t xml:space="preserve">number of </w:t>
      </w:r>
      <w:r w:rsidR="00505788" w:rsidRPr="00B50D14">
        <w:rPr>
          <w:rFonts w:cs="Arial"/>
        </w:rPr>
        <w:t xml:space="preserve">factors </w:t>
      </w:r>
      <w:r w:rsidR="00627E3E">
        <w:rPr>
          <w:rFonts w:cs="Arial"/>
        </w:rPr>
        <w:t>must be considered</w:t>
      </w:r>
      <w:r w:rsidR="0060360B">
        <w:rPr>
          <w:rFonts w:cs="Arial"/>
        </w:rPr>
        <w:t xml:space="preserve">.  These are set out below and </w:t>
      </w:r>
      <w:proofErr w:type="gramStart"/>
      <w:r w:rsidR="0060360B">
        <w:rPr>
          <w:rFonts w:cs="Arial"/>
        </w:rPr>
        <w:t>officers</w:t>
      </w:r>
      <w:proofErr w:type="gramEnd"/>
      <w:r w:rsidR="0060360B">
        <w:rPr>
          <w:rFonts w:cs="Arial"/>
        </w:rPr>
        <w:t xml:space="preserve"> views are expressed in respect of each consideration. </w:t>
      </w:r>
      <w:r w:rsidR="000F5DE7">
        <w:rPr>
          <w:rFonts w:cs="Arial"/>
        </w:rPr>
        <w:t xml:space="preserve">  Similar considerations apply (save for (a)) in considering an acquisition for planning purposes where this is to engage s237. </w:t>
      </w:r>
    </w:p>
    <w:p w:rsidR="007E700F" w:rsidRDefault="007E700F" w:rsidP="007E700F">
      <w:pPr>
        <w:pStyle w:val="ListParagraph"/>
        <w:ind w:left="680"/>
        <w:jc w:val="both"/>
        <w:rPr>
          <w:rFonts w:cs="Arial"/>
        </w:rPr>
      </w:pPr>
    </w:p>
    <w:p w:rsidR="001B1F2C" w:rsidRDefault="00627E3E" w:rsidP="00505788">
      <w:pPr>
        <w:pStyle w:val="ListParagraph"/>
        <w:numPr>
          <w:ilvl w:val="0"/>
          <w:numId w:val="10"/>
        </w:numPr>
        <w:tabs>
          <w:tab w:val="left" w:pos="1440"/>
        </w:tabs>
        <w:autoSpaceDE w:val="0"/>
        <w:autoSpaceDN w:val="0"/>
        <w:adjustRightInd w:val="0"/>
        <w:ind w:left="1440" w:hanging="731"/>
        <w:jc w:val="both"/>
        <w:rPr>
          <w:rFonts w:cs="Arial"/>
        </w:rPr>
      </w:pPr>
      <w:r w:rsidRPr="001B1F2C">
        <w:rPr>
          <w:rFonts w:cs="Arial"/>
          <w:i/>
        </w:rPr>
        <w:t xml:space="preserve">Is the </w:t>
      </w:r>
      <w:r w:rsidR="006917A6" w:rsidRPr="001B1F2C">
        <w:rPr>
          <w:rFonts w:cs="Arial"/>
          <w:i/>
        </w:rPr>
        <w:t xml:space="preserve">land is </w:t>
      </w:r>
      <w:r w:rsidR="00260473" w:rsidRPr="001B1F2C">
        <w:rPr>
          <w:rFonts w:cs="Arial"/>
          <w:i/>
        </w:rPr>
        <w:t xml:space="preserve">no longer needed </w:t>
      </w:r>
      <w:r w:rsidRPr="001B1F2C">
        <w:rPr>
          <w:rFonts w:cs="Arial"/>
          <w:i/>
        </w:rPr>
        <w:t>for its current purpose?</w:t>
      </w:r>
    </w:p>
    <w:p w:rsidR="001B1F2C" w:rsidRDefault="001B1F2C" w:rsidP="001B1F2C">
      <w:pPr>
        <w:pStyle w:val="ListParagraph"/>
        <w:tabs>
          <w:tab w:val="left" w:pos="1440"/>
        </w:tabs>
        <w:autoSpaceDE w:val="0"/>
        <w:autoSpaceDN w:val="0"/>
        <w:adjustRightInd w:val="0"/>
        <w:ind w:left="1440"/>
        <w:jc w:val="both"/>
        <w:rPr>
          <w:rFonts w:cs="Arial"/>
        </w:rPr>
      </w:pPr>
    </w:p>
    <w:p w:rsidR="006917A6" w:rsidRDefault="00627E3E" w:rsidP="00A03C52">
      <w:pPr>
        <w:pStyle w:val="ListParagraph"/>
        <w:autoSpaceDE w:val="0"/>
        <w:autoSpaceDN w:val="0"/>
        <w:adjustRightInd w:val="0"/>
        <w:jc w:val="both"/>
        <w:rPr>
          <w:rFonts w:cs="Arial"/>
        </w:rPr>
      </w:pPr>
      <w:r>
        <w:rPr>
          <w:rFonts w:cs="Arial"/>
        </w:rPr>
        <w:t xml:space="preserve">This has been held to mean no longer needed </w:t>
      </w:r>
      <w:r w:rsidR="005D4717" w:rsidRPr="00505788">
        <w:rPr>
          <w:rFonts w:cs="Arial"/>
        </w:rPr>
        <w:t xml:space="preserve">in the public interest </w:t>
      </w:r>
      <w:r w:rsidR="00260473" w:rsidRPr="00505788">
        <w:rPr>
          <w:rFonts w:cs="Arial"/>
        </w:rPr>
        <w:t>o</w:t>
      </w:r>
      <w:r w:rsidR="005D4717" w:rsidRPr="00505788">
        <w:rPr>
          <w:rFonts w:cs="Arial"/>
        </w:rPr>
        <w:t>f the locality</w:t>
      </w:r>
      <w:r>
        <w:rPr>
          <w:rFonts w:cs="Arial"/>
        </w:rPr>
        <w:t xml:space="preserve"> which </w:t>
      </w:r>
      <w:r w:rsidR="005D4717" w:rsidRPr="00505788">
        <w:rPr>
          <w:rFonts w:cs="Arial"/>
        </w:rPr>
        <w:t>i</w:t>
      </w:r>
      <w:r>
        <w:rPr>
          <w:rFonts w:cs="Arial"/>
        </w:rPr>
        <w:t xml:space="preserve">mports </w:t>
      </w:r>
      <w:r w:rsidR="005D4717" w:rsidRPr="00505788">
        <w:rPr>
          <w:rFonts w:cs="Arial"/>
        </w:rPr>
        <w:t>questions of degree and comparative need</w:t>
      </w:r>
      <w:r w:rsidR="00260473" w:rsidRPr="00505788">
        <w:rPr>
          <w:rFonts w:cs="Arial"/>
        </w:rPr>
        <w:t xml:space="preserve"> including the purpose to which the land is to be appropriated. </w:t>
      </w:r>
      <w:r w:rsidR="007E700F" w:rsidRPr="00505788">
        <w:rPr>
          <w:rFonts w:cs="Arial"/>
        </w:rPr>
        <w:t xml:space="preserve"> </w:t>
      </w:r>
    </w:p>
    <w:p w:rsidR="004C16E3" w:rsidRDefault="004C16E3" w:rsidP="001B1F2C">
      <w:pPr>
        <w:pStyle w:val="ListParagraph"/>
        <w:tabs>
          <w:tab w:val="left" w:pos="1440"/>
        </w:tabs>
        <w:autoSpaceDE w:val="0"/>
        <w:autoSpaceDN w:val="0"/>
        <w:adjustRightInd w:val="0"/>
        <w:ind w:left="1440"/>
        <w:jc w:val="both"/>
        <w:rPr>
          <w:rFonts w:cs="Arial"/>
        </w:rPr>
      </w:pPr>
    </w:p>
    <w:p w:rsidR="004C16E3" w:rsidRPr="00505788" w:rsidRDefault="00DD1FF8" w:rsidP="00A03C52">
      <w:pPr>
        <w:pStyle w:val="ListParagraph"/>
        <w:autoSpaceDE w:val="0"/>
        <w:autoSpaceDN w:val="0"/>
        <w:adjustRightInd w:val="0"/>
        <w:jc w:val="both"/>
        <w:rPr>
          <w:rFonts w:cs="Arial"/>
        </w:rPr>
      </w:pPr>
      <w:r w:rsidRPr="00DD1FF8">
        <w:rPr>
          <w:rFonts w:cs="Arial"/>
        </w:rPr>
        <w:t>It is a long-standing ambition of the Council to regenerate the Westgate Centre and its environs</w:t>
      </w:r>
      <w:r>
        <w:rPr>
          <w:rFonts w:cs="Arial"/>
        </w:rPr>
        <w:t xml:space="preserve"> and to that effect, </w:t>
      </w:r>
      <w:r w:rsidRPr="00DD1FF8">
        <w:rPr>
          <w:rFonts w:cs="Arial"/>
        </w:rPr>
        <w:t xml:space="preserve">the Council entered into the development agreement with WOALP.  Planning permission has been granted for the re-development scheme and is supported by planning policy.   </w:t>
      </w:r>
      <w:r w:rsidR="004C16E3">
        <w:rPr>
          <w:rFonts w:cs="Arial"/>
        </w:rPr>
        <w:t xml:space="preserve">Area </w:t>
      </w:r>
      <w:r>
        <w:rPr>
          <w:rFonts w:cs="Arial"/>
        </w:rPr>
        <w:t>B</w:t>
      </w:r>
      <w:r w:rsidR="004C16E3">
        <w:rPr>
          <w:rFonts w:cs="Arial"/>
        </w:rPr>
        <w:t xml:space="preserve"> is currently held for general municipal purposes and in large part comprises surface area car parks</w:t>
      </w:r>
      <w:r>
        <w:rPr>
          <w:rFonts w:cs="Arial"/>
        </w:rPr>
        <w:t xml:space="preserve"> </w:t>
      </w:r>
      <w:r w:rsidR="004C16E3" w:rsidRPr="004C16E3">
        <w:rPr>
          <w:rFonts w:cs="Arial"/>
        </w:rPr>
        <w:t xml:space="preserve">which </w:t>
      </w:r>
      <w:r>
        <w:rPr>
          <w:rFonts w:cs="Arial"/>
        </w:rPr>
        <w:t xml:space="preserve">are </w:t>
      </w:r>
      <w:r w:rsidR="004C16E3" w:rsidRPr="004C16E3">
        <w:rPr>
          <w:rFonts w:cs="Arial"/>
        </w:rPr>
        <w:t>considered to represent an inefficient use of land</w:t>
      </w:r>
      <w:r>
        <w:rPr>
          <w:rFonts w:cs="Arial"/>
        </w:rPr>
        <w:t xml:space="preserve">, </w:t>
      </w:r>
      <w:r w:rsidR="004C16E3" w:rsidRPr="004C16E3">
        <w:rPr>
          <w:rFonts w:cs="Arial"/>
        </w:rPr>
        <w:t>suffer from deficiencies in terms of security</w:t>
      </w:r>
      <w:r w:rsidR="004C16E3">
        <w:rPr>
          <w:rFonts w:cs="Arial"/>
        </w:rPr>
        <w:t xml:space="preserve"> and design</w:t>
      </w:r>
      <w:r w:rsidRPr="00DD1FF8">
        <w:t xml:space="preserve"> </w:t>
      </w:r>
      <w:r>
        <w:t xml:space="preserve">and </w:t>
      </w:r>
      <w:r w:rsidR="00A03C52">
        <w:t xml:space="preserve">their </w:t>
      </w:r>
      <w:r w:rsidRPr="00DD1FF8">
        <w:rPr>
          <w:rFonts w:cs="Arial"/>
        </w:rPr>
        <w:t xml:space="preserve">retention </w:t>
      </w:r>
      <w:r>
        <w:rPr>
          <w:rFonts w:cs="Arial"/>
        </w:rPr>
        <w:t xml:space="preserve">would </w:t>
      </w:r>
      <w:r w:rsidR="00A03C52">
        <w:rPr>
          <w:rFonts w:cs="Arial"/>
        </w:rPr>
        <w:t xml:space="preserve">in any event </w:t>
      </w:r>
      <w:r>
        <w:rPr>
          <w:rFonts w:cs="Arial"/>
        </w:rPr>
        <w:t xml:space="preserve">be </w:t>
      </w:r>
      <w:r w:rsidRPr="00DD1FF8">
        <w:rPr>
          <w:rFonts w:cs="Arial"/>
        </w:rPr>
        <w:t>incompatible with the re-development</w:t>
      </w:r>
      <w:r>
        <w:rPr>
          <w:rFonts w:cs="Arial"/>
        </w:rPr>
        <w:t xml:space="preserve"> scheme</w:t>
      </w:r>
      <w:r w:rsidRPr="00DD1FF8">
        <w:rPr>
          <w:rFonts w:cs="Arial"/>
        </w:rPr>
        <w:t xml:space="preserve">.  </w:t>
      </w:r>
      <w:r w:rsidR="00D073DA">
        <w:rPr>
          <w:rFonts w:cs="Arial"/>
        </w:rPr>
        <w:t xml:space="preserve"> Having regard to the public benefits to be secured by the re-development proposals, it is considered that the current use of Area A is no longer required in the public interest. </w:t>
      </w:r>
    </w:p>
    <w:p w:rsidR="006917A6" w:rsidRDefault="006917A6" w:rsidP="006917A6">
      <w:pPr>
        <w:pStyle w:val="ListParagraph"/>
        <w:ind w:left="680"/>
        <w:jc w:val="both"/>
        <w:rPr>
          <w:rFonts w:cs="Arial"/>
        </w:rPr>
      </w:pPr>
    </w:p>
    <w:p w:rsidR="00627E3E" w:rsidRDefault="00627E3E" w:rsidP="00505788">
      <w:pPr>
        <w:pStyle w:val="ListParagraph"/>
        <w:numPr>
          <w:ilvl w:val="0"/>
          <w:numId w:val="10"/>
        </w:numPr>
        <w:tabs>
          <w:tab w:val="left" w:pos="1440"/>
        </w:tabs>
        <w:autoSpaceDE w:val="0"/>
        <w:autoSpaceDN w:val="0"/>
        <w:adjustRightInd w:val="0"/>
        <w:ind w:left="1440" w:hanging="731"/>
        <w:jc w:val="both"/>
        <w:rPr>
          <w:rFonts w:cs="Arial"/>
          <w:i/>
        </w:rPr>
      </w:pPr>
      <w:r w:rsidRPr="00DD1FF8">
        <w:rPr>
          <w:rFonts w:cs="Arial"/>
          <w:i/>
        </w:rPr>
        <w:t xml:space="preserve">Is the </w:t>
      </w:r>
      <w:r w:rsidR="00DD1FF8">
        <w:rPr>
          <w:rFonts w:cs="Arial"/>
          <w:i/>
        </w:rPr>
        <w:t xml:space="preserve">Council </w:t>
      </w:r>
      <w:r w:rsidRPr="00DD1FF8">
        <w:rPr>
          <w:rFonts w:cs="Arial"/>
          <w:i/>
        </w:rPr>
        <w:t xml:space="preserve">of the view </w:t>
      </w:r>
      <w:r w:rsidR="00E70123" w:rsidRPr="00DD1FF8">
        <w:rPr>
          <w:rFonts w:cs="Arial"/>
          <w:i/>
        </w:rPr>
        <w:t>that the appropriation</w:t>
      </w:r>
      <w:r w:rsidR="000F5DE7">
        <w:rPr>
          <w:rFonts w:cs="Arial"/>
          <w:i/>
        </w:rPr>
        <w:t>/acquisition</w:t>
      </w:r>
      <w:r w:rsidR="00E70123" w:rsidRPr="00DD1FF8">
        <w:rPr>
          <w:rFonts w:cs="Arial"/>
          <w:i/>
        </w:rPr>
        <w:t xml:space="preserve"> will facilitate the development</w:t>
      </w:r>
      <w:r w:rsidR="00260473" w:rsidRPr="00DD1FF8">
        <w:rPr>
          <w:rFonts w:cs="Arial"/>
          <w:i/>
        </w:rPr>
        <w:t>,</w:t>
      </w:r>
      <w:r w:rsidR="00E70123" w:rsidRPr="00DD1FF8">
        <w:rPr>
          <w:rFonts w:cs="Arial"/>
          <w:i/>
        </w:rPr>
        <w:t xml:space="preserve"> redevelopment </w:t>
      </w:r>
      <w:r w:rsidR="00260473" w:rsidRPr="00DD1FF8">
        <w:rPr>
          <w:rFonts w:cs="Arial"/>
          <w:i/>
        </w:rPr>
        <w:t xml:space="preserve">or improvement </w:t>
      </w:r>
      <w:r w:rsidR="00E70123" w:rsidRPr="00DD1FF8">
        <w:rPr>
          <w:rFonts w:cs="Arial"/>
          <w:i/>
        </w:rPr>
        <w:t>of the land concerned</w:t>
      </w:r>
      <w:r w:rsidR="00260473" w:rsidRPr="00DD1FF8">
        <w:rPr>
          <w:rFonts w:cs="Arial"/>
          <w:i/>
        </w:rPr>
        <w:t xml:space="preserve"> and also that it will contribute to the achievement of the economic, social or economic wellbeing of the area</w:t>
      </w:r>
      <w:r w:rsidRPr="00DD1FF8">
        <w:rPr>
          <w:rFonts w:cs="Arial"/>
          <w:i/>
        </w:rPr>
        <w:t>?</w:t>
      </w:r>
    </w:p>
    <w:p w:rsidR="00DD1FF8" w:rsidRPr="00DD1FF8" w:rsidRDefault="00DD1FF8" w:rsidP="00DD1FF8">
      <w:pPr>
        <w:pStyle w:val="ListParagraph"/>
        <w:tabs>
          <w:tab w:val="left" w:pos="1440"/>
        </w:tabs>
        <w:autoSpaceDE w:val="0"/>
        <w:autoSpaceDN w:val="0"/>
        <w:adjustRightInd w:val="0"/>
        <w:ind w:left="1440"/>
        <w:jc w:val="both"/>
        <w:rPr>
          <w:rFonts w:cs="Arial"/>
          <w:i/>
        </w:rPr>
      </w:pPr>
    </w:p>
    <w:p w:rsidR="00DD1FF8" w:rsidRPr="00DD1FF8" w:rsidRDefault="00DD1FF8" w:rsidP="00A03C52">
      <w:pPr>
        <w:pStyle w:val="ListParagraph"/>
        <w:autoSpaceDE w:val="0"/>
        <w:autoSpaceDN w:val="0"/>
        <w:adjustRightInd w:val="0"/>
        <w:jc w:val="both"/>
        <w:rPr>
          <w:rFonts w:cs="Arial"/>
        </w:rPr>
      </w:pPr>
      <w:r>
        <w:rPr>
          <w:rFonts w:cs="Arial"/>
        </w:rPr>
        <w:t>T</w:t>
      </w:r>
      <w:r w:rsidRPr="00DD1FF8">
        <w:rPr>
          <w:rFonts w:cs="Arial"/>
        </w:rPr>
        <w:t xml:space="preserve">he </w:t>
      </w:r>
      <w:r w:rsidR="00F15585">
        <w:rPr>
          <w:rFonts w:cs="Arial"/>
        </w:rPr>
        <w:t xml:space="preserve">consented </w:t>
      </w:r>
      <w:r w:rsidRPr="00DD1FF8">
        <w:rPr>
          <w:rFonts w:cs="Arial"/>
        </w:rPr>
        <w:t>re</w:t>
      </w:r>
      <w:r w:rsidR="00F15585">
        <w:rPr>
          <w:rFonts w:cs="Arial"/>
        </w:rPr>
        <w:t>-</w:t>
      </w:r>
      <w:r w:rsidRPr="00DD1FF8">
        <w:rPr>
          <w:rFonts w:cs="Arial"/>
        </w:rPr>
        <w:t xml:space="preserve">development proposals provide an opportunity for the </w:t>
      </w:r>
      <w:r>
        <w:rPr>
          <w:rFonts w:cs="Arial"/>
        </w:rPr>
        <w:t>C</w:t>
      </w:r>
      <w:r w:rsidRPr="00DD1FF8">
        <w:rPr>
          <w:rFonts w:cs="Arial"/>
        </w:rPr>
        <w:t>ity to re-establis</w:t>
      </w:r>
      <w:r>
        <w:rPr>
          <w:rFonts w:cs="Arial"/>
        </w:rPr>
        <w:t>h itself as a sub-</w:t>
      </w:r>
      <w:r w:rsidRPr="00DD1FF8">
        <w:rPr>
          <w:rFonts w:cs="Arial"/>
        </w:rPr>
        <w:t xml:space="preserve">regional centre commensurate with that status and to bring substantial employment and other benefits to its residents, students and visitors alike. It has the potential to transform a sector of the </w:t>
      </w:r>
      <w:r w:rsidR="00F15585">
        <w:rPr>
          <w:rFonts w:cs="Arial"/>
        </w:rPr>
        <w:t>City C</w:t>
      </w:r>
      <w:r w:rsidRPr="00DD1FF8">
        <w:rPr>
          <w:rFonts w:cs="Arial"/>
        </w:rPr>
        <w:t xml:space="preserve">entre which is tired and “down at heel” and act as a catalyst for the future regeneration of the wider West End and </w:t>
      </w:r>
      <w:proofErr w:type="spellStart"/>
      <w:r w:rsidRPr="00DD1FF8">
        <w:rPr>
          <w:rFonts w:cs="Arial"/>
        </w:rPr>
        <w:t>Oxpens</w:t>
      </w:r>
      <w:proofErr w:type="spellEnd"/>
      <w:r w:rsidRPr="00DD1FF8">
        <w:rPr>
          <w:rFonts w:cs="Arial"/>
        </w:rPr>
        <w:t xml:space="preserve"> areas.</w:t>
      </w:r>
      <w:r w:rsidR="00F15585">
        <w:rPr>
          <w:rFonts w:cs="Arial"/>
        </w:rPr>
        <w:t xml:space="preserve">    </w:t>
      </w:r>
      <w:r w:rsidR="00990AD6">
        <w:rPr>
          <w:rFonts w:cs="Arial"/>
        </w:rPr>
        <w:t>I</w:t>
      </w:r>
      <w:r w:rsidR="00A03C52">
        <w:rPr>
          <w:rFonts w:cs="Arial"/>
        </w:rPr>
        <w:t>t is considered that a</w:t>
      </w:r>
      <w:r w:rsidR="00F15585">
        <w:rPr>
          <w:rFonts w:cs="Arial"/>
        </w:rPr>
        <w:t>ppropriation</w:t>
      </w:r>
      <w:r w:rsidR="00D073DA">
        <w:rPr>
          <w:rFonts w:cs="Arial"/>
        </w:rPr>
        <w:t xml:space="preserve"> to/acquisition for </w:t>
      </w:r>
      <w:r w:rsidR="00F15585">
        <w:rPr>
          <w:rFonts w:cs="Arial"/>
        </w:rPr>
        <w:t>planning purposes and the engagement of s237 to ensure any third party rights do not prejudice delivery of the scheme will facilitate the re-development and contribute to the realisation of the well-being objectives</w:t>
      </w:r>
      <w:r w:rsidR="00995E1B">
        <w:rPr>
          <w:rFonts w:cs="Arial"/>
        </w:rPr>
        <w:t xml:space="preserve"> in the greater public interest</w:t>
      </w:r>
      <w:r w:rsidR="00F15585">
        <w:rPr>
          <w:rFonts w:cs="Arial"/>
        </w:rPr>
        <w:t xml:space="preserve">. </w:t>
      </w:r>
    </w:p>
    <w:p w:rsidR="00627E3E" w:rsidRPr="00627E3E" w:rsidRDefault="00627E3E" w:rsidP="00627E3E">
      <w:pPr>
        <w:pStyle w:val="ListParagraph"/>
        <w:rPr>
          <w:rFonts w:cs="Arial"/>
        </w:rPr>
      </w:pPr>
    </w:p>
    <w:p w:rsidR="00B50D14" w:rsidRPr="00F15585" w:rsidRDefault="00505788" w:rsidP="00505788">
      <w:pPr>
        <w:pStyle w:val="ListParagraph"/>
        <w:numPr>
          <w:ilvl w:val="0"/>
          <w:numId w:val="10"/>
        </w:numPr>
        <w:tabs>
          <w:tab w:val="left" w:pos="1440"/>
        </w:tabs>
        <w:autoSpaceDE w:val="0"/>
        <w:autoSpaceDN w:val="0"/>
        <w:adjustRightInd w:val="0"/>
        <w:ind w:left="1440" w:hanging="731"/>
        <w:jc w:val="both"/>
        <w:rPr>
          <w:rFonts w:cs="Arial"/>
          <w:i/>
        </w:rPr>
      </w:pPr>
      <w:r w:rsidRPr="00F15585">
        <w:rPr>
          <w:rFonts w:cs="Arial"/>
          <w:i/>
        </w:rPr>
        <w:t xml:space="preserve">The </w:t>
      </w:r>
      <w:r w:rsidR="00627E3E" w:rsidRPr="00F15585">
        <w:rPr>
          <w:rFonts w:cs="Arial"/>
          <w:i/>
        </w:rPr>
        <w:t xml:space="preserve">third party </w:t>
      </w:r>
      <w:r w:rsidRPr="00F15585">
        <w:rPr>
          <w:rFonts w:cs="Arial"/>
          <w:i/>
        </w:rPr>
        <w:t xml:space="preserve">rights </w:t>
      </w:r>
      <w:r w:rsidR="00627E3E" w:rsidRPr="00F15585">
        <w:rPr>
          <w:rFonts w:cs="Arial"/>
          <w:i/>
        </w:rPr>
        <w:t xml:space="preserve">which would be interfered with as a result of the development </w:t>
      </w:r>
      <w:r w:rsidR="00B50D14" w:rsidRPr="00F15585">
        <w:rPr>
          <w:rFonts w:cs="Arial"/>
          <w:i/>
        </w:rPr>
        <w:t>must be rights to which s237 apply</w:t>
      </w:r>
      <w:r w:rsidR="00627E3E" w:rsidRPr="00F15585">
        <w:rPr>
          <w:rFonts w:cs="Arial"/>
          <w:i/>
        </w:rPr>
        <w:t xml:space="preserve">. </w:t>
      </w:r>
    </w:p>
    <w:p w:rsidR="00B50D14" w:rsidRDefault="00B50D14" w:rsidP="00D073DA">
      <w:pPr>
        <w:pStyle w:val="ListParagraph"/>
        <w:jc w:val="both"/>
        <w:rPr>
          <w:rFonts w:cs="Arial"/>
        </w:rPr>
      </w:pPr>
    </w:p>
    <w:p w:rsidR="00F15585" w:rsidRDefault="00F15585" w:rsidP="00A03C52">
      <w:pPr>
        <w:pStyle w:val="ListParagraph"/>
        <w:autoSpaceDE w:val="0"/>
        <w:autoSpaceDN w:val="0"/>
        <w:adjustRightInd w:val="0"/>
        <w:jc w:val="both"/>
        <w:rPr>
          <w:rFonts w:cs="Arial"/>
        </w:rPr>
      </w:pPr>
      <w:r>
        <w:rPr>
          <w:rFonts w:cs="Arial"/>
        </w:rPr>
        <w:t xml:space="preserve">S237 defines the nature of the rights to which it applies, which include easements and such like as well as restrictive covenants.  It is considered that the third party rights in question </w:t>
      </w:r>
      <w:r w:rsidR="008463B9">
        <w:rPr>
          <w:rFonts w:cs="Arial"/>
        </w:rPr>
        <w:t xml:space="preserve">are rights to which s237 applies. </w:t>
      </w:r>
    </w:p>
    <w:p w:rsidR="008463B9" w:rsidRPr="00B50D14" w:rsidRDefault="008463B9" w:rsidP="00F15585">
      <w:pPr>
        <w:pStyle w:val="ListParagraph"/>
        <w:ind w:left="1440"/>
        <w:rPr>
          <w:rFonts w:cs="Arial"/>
        </w:rPr>
      </w:pPr>
    </w:p>
    <w:p w:rsidR="00E70123" w:rsidRPr="008463B9" w:rsidRDefault="00627E3E" w:rsidP="00627E3E">
      <w:pPr>
        <w:pStyle w:val="ListParagraph"/>
        <w:numPr>
          <w:ilvl w:val="0"/>
          <w:numId w:val="10"/>
        </w:numPr>
        <w:tabs>
          <w:tab w:val="left" w:pos="1440"/>
        </w:tabs>
        <w:autoSpaceDE w:val="0"/>
        <w:autoSpaceDN w:val="0"/>
        <w:adjustRightInd w:val="0"/>
        <w:ind w:left="1440" w:hanging="731"/>
        <w:jc w:val="both"/>
        <w:rPr>
          <w:rFonts w:cs="Arial"/>
          <w:i/>
        </w:rPr>
      </w:pPr>
      <w:r w:rsidRPr="008463B9">
        <w:rPr>
          <w:rFonts w:cs="Arial"/>
          <w:i/>
        </w:rPr>
        <w:t xml:space="preserve">Is </w:t>
      </w:r>
      <w:r w:rsidR="00B50D14" w:rsidRPr="008463B9">
        <w:rPr>
          <w:rFonts w:cs="Arial"/>
          <w:i/>
        </w:rPr>
        <w:t xml:space="preserve">interference with </w:t>
      </w:r>
      <w:r w:rsidRPr="008463B9">
        <w:rPr>
          <w:rFonts w:cs="Arial"/>
          <w:i/>
        </w:rPr>
        <w:t xml:space="preserve">the third party rights in question </w:t>
      </w:r>
      <w:r w:rsidR="00B50D14" w:rsidRPr="008463B9">
        <w:rPr>
          <w:rFonts w:cs="Arial"/>
          <w:i/>
        </w:rPr>
        <w:t>necessary</w:t>
      </w:r>
      <w:r w:rsidRPr="008463B9">
        <w:rPr>
          <w:rFonts w:cs="Arial"/>
          <w:i/>
        </w:rPr>
        <w:t>?</w:t>
      </w:r>
      <w:r w:rsidR="00B50D14" w:rsidRPr="008463B9">
        <w:rPr>
          <w:rFonts w:cs="Arial"/>
          <w:i/>
        </w:rPr>
        <w:t xml:space="preserve">  This includes both physical interference and also whether </w:t>
      </w:r>
      <w:r w:rsidR="00884C86" w:rsidRPr="008463B9">
        <w:rPr>
          <w:rFonts w:cs="Arial"/>
          <w:i/>
        </w:rPr>
        <w:t>it is necessary because agreement might otherwise be reached for the release of the right.</w:t>
      </w:r>
    </w:p>
    <w:p w:rsidR="008463B9" w:rsidRPr="008463B9" w:rsidRDefault="008463B9" w:rsidP="008463B9">
      <w:pPr>
        <w:pStyle w:val="ListParagraph"/>
        <w:tabs>
          <w:tab w:val="left" w:pos="1440"/>
        </w:tabs>
        <w:autoSpaceDE w:val="0"/>
        <w:autoSpaceDN w:val="0"/>
        <w:adjustRightInd w:val="0"/>
        <w:ind w:left="1440"/>
        <w:jc w:val="both"/>
        <w:rPr>
          <w:rFonts w:cs="Arial"/>
          <w:i/>
        </w:rPr>
      </w:pPr>
    </w:p>
    <w:p w:rsidR="00995E1B" w:rsidRPr="00995E1B" w:rsidRDefault="00995E1B" w:rsidP="00A03C52">
      <w:pPr>
        <w:pStyle w:val="ListParagraph"/>
        <w:ind w:left="1440" w:hanging="720"/>
        <w:jc w:val="both"/>
        <w:rPr>
          <w:rFonts w:cs="Arial"/>
          <w:u w:val="single"/>
        </w:rPr>
      </w:pPr>
      <w:r w:rsidRPr="00995E1B">
        <w:rPr>
          <w:rFonts w:cs="Arial"/>
          <w:u w:val="single"/>
        </w:rPr>
        <w:t>Physical necessity</w:t>
      </w:r>
    </w:p>
    <w:p w:rsidR="00995E1B" w:rsidRDefault="00995E1B" w:rsidP="008463B9">
      <w:pPr>
        <w:pStyle w:val="ListParagraph"/>
        <w:ind w:left="1440"/>
        <w:jc w:val="both"/>
        <w:rPr>
          <w:rFonts w:cs="Arial"/>
        </w:rPr>
      </w:pPr>
    </w:p>
    <w:p w:rsidR="0060360B" w:rsidRDefault="008463B9" w:rsidP="00A03C52">
      <w:pPr>
        <w:pStyle w:val="ListParagraph"/>
        <w:autoSpaceDE w:val="0"/>
        <w:autoSpaceDN w:val="0"/>
        <w:adjustRightInd w:val="0"/>
        <w:jc w:val="both"/>
        <w:rPr>
          <w:rFonts w:cs="Arial"/>
        </w:rPr>
      </w:pPr>
      <w:r>
        <w:rPr>
          <w:rFonts w:cs="Arial"/>
        </w:rPr>
        <w:t xml:space="preserve">WOALP has advised that it is necessary to interfere with </w:t>
      </w:r>
      <w:r w:rsidR="005B254A">
        <w:rPr>
          <w:rFonts w:cs="Arial"/>
        </w:rPr>
        <w:t xml:space="preserve">certain </w:t>
      </w:r>
      <w:r>
        <w:rPr>
          <w:rFonts w:cs="Arial"/>
        </w:rPr>
        <w:t xml:space="preserve">third party rights in Area B in order to construct a basement area on two levels providing both a car park and service yard for the development.  </w:t>
      </w:r>
      <w:r w:rsidR="005B254A">
        <w:rPr>
          <w:rFonts w:cs="Arial"/>
        </w:rPr>
        <w:t xml:space="preserve">In relation to rights of light,  </w:t>
      </w:r>
      <w:r w:rsidR="00835A5E">
        <w:rPr>
          <w:rFonts w:cs="Arial"/>
        </w:rPr>
        <w:t>i</w:t>
      </w:r>
      <w:r>
        <w:rPr>
          <w:rFonts w:cs="Arial"/>
        </w:rPr>
        <w:t>n order to provide the scale and range of facilities required for comprehensive development</w:t>
      </w:r>
      <w:r w:rsidR="005B254A">
        <w:rPr>
          <w:rFonts w:cs="Arial"/>
        </w:rPr>
        <w:t xml:space="preserve"> that meets the objectives of planning policy and is commercially viable, car parking and servicing, public space, large retail stores and other shops are provided over two trading levels and restaurants at roof level.  The heights of the buildings have been set so as to accommodate these uses in a design that is acceptable in the context of the Council’s policy that development should not generally exceed a height of 18.2m AOD.   The building form means that rights to light </w:t>
      </w:r>
      <w:r w:rsidR="00995E1B">
        <w:rPr>
          <w:rFonts w:cs="Arial"/>
        </w:rPr>
        <w:t xml:space="preserve">benefitting certain properties in </w:t>
      </w:r>
      <w:r w:rsidR="005B254A">
        <w:rPr>
          <w:rFonts w:cs="Arial"/>
        </w:rPr>
        <w:t xml:space="preserve">Tennyson </w:t>
      </w:r>
      <w:r w:rsidR="00995E1B">
        <w:rPr>
          <w:rFonts w:cs="Arial"/>
        </w:rPr>
        <w:t>Lodge and Faulkner Street</w:t>
      </w:r>
      <w:r w:rsidR="005B254A">
        <w:rPr>
          <w:rFonts w:cs="Arial"/>
        </w:rPr>
        <w:t xml:space="preserve"> may be interfered with. </w:t>
      </w:r>
    </w:p>
    <w:p w:rsidR="00995E1B" w:rsidRDefault="00995E1B" w:rsidP="008463B9">
      <w:pPr>
        <w:pStyle w:val="ListParagraph"/>
        <w:ind w:left="1440"/>
        <w:jc w:val="both"/>
        <w:rPr>
          <w:rFonts w:cs="Arial"/>
        </w:rPr>
      </w:pPr>
    </w:p>
    <w:p w:rsidR="00995E1B" w:rsidRDefault="00995E1B" w:rsidP="00A03C52">
      <w:pPr>
        <w:pStyle w:val="ListParagraph"/>
        <w:ind w:left="1440" w:hanging="720"/>
        <w:jc w:val="both"/>
        <w:rPr>
          <w:rFonts w:cs="Arial"/>
          <w:u w:val="single"/>
        </w:rPr>
      </w:pPr>
      <w:r w:rsidRPr="00995E1B">
        <w:rPr>
          <w:rFonts w:cs="Arial"/>
          <w:u w:val="single"/>
        </w:rPr>
        <w:t>Negotiations</w:t>
      </w:r>
    </w:p>
    <w:p w:rsidR="006B151B" w:rsidRDefault="006B151B" w:rsidP="008463B9">
      <w:pPr>
        <w:pStyle w:val="ListParagraph"/>
        <w:ind w:left="1440"/>
        <w:jc w:val="both"/>
        <w:rPr>
          <w:rFonts w:cs="Arial"/>
          <w:u w:val="single"/>
        </w:rPr>
      </w:pPr>
    </w:p>
    <w:p w:rsidR="00990AD6" w:rsidRDefault="006B151B" w:rsidP="00A03C52">
      <w:pPr>
        <w:pStyle w:val="ListParagraph"/>
        <w:autoSpaceDE w:val="0"/>
        <w:autoSpaceDN w:val="0"/>
        <w:adjustRightInd w:val="0"/>
        <w:jc w:val="both"/>
        <w:rPr>
          <w:rFonts w:cs="Arial"/>
        </w:rPr>
      </w:pPr>
      <w:r w:rsidRPr="006B151B">
        <w:rPr>
          <w:rFonts w:cs="Arial"/>
        </w:rPr>
        <w:t xml:space="preserve">WOALP </w:t>
      </w:r>
      <w:r>
        <w:rPr>
          <w:rFonts w:cs="Arial"/>
        </w:rPr>
        <w:t>are in negotiations with the third parties regarding the development, interference with the rights affected and the terms of agreement for a release of those rights.   A summary of the current position regarding negotiation</w:t>
      </w:r>
      <w:r w:rsidR="000D42A3">
        <w:rPr>
          <w:rFonts w:cs="Arial"/>
        </w:rPr>
        <w:t>s</w:t>
      </w:r>
      <w:r>
        <w:rPr>
          <w:rFonts w:cs="Arial"/>
        </w:rPr>
        <w:t xml:space="preserve"> is appended to this Report</w:t>
      </w:r>
      <w:r w:rsidR="00F440BE">
        <w:rPr>
          <w:rFonts w:cs="Arial"/>
        </w:rPr>
        <w:t xml:space="preserve"> </w:t>
      </w:r>
      <w:r w:rsidR="00990AD6">
        <w:rPr>
          <w:rFonts w:cs="Arial"/>
        </w:rPr>
        <w:t xml:space="preserve">at </w:t>
      </w:r>
      <w:r w:rsidR="00990AD6" w:rsidRPr="00990AD6">
        <w:rPr>
          <w:rFonts w:cs="Arial"/>
          <w:b/>
        </w:rPr>
        <w:t>A</w:t>
      </w:r>
      <w:r w:rsidR="00F440BE" w:rsidRPr="00990AD6">
        <w:rPr>
          <w:rFonts w:cs="Arial"/>
          <w:b/>
        </w:rPr>
        <w:t>ppendix</w:t>
      </w:r>
      <w:r w:rsidR="00F440BE" w:rsidRPr="00F440BE">
        <w:rPr>
          <w:rFonts w:cs="Arial"/>
          <w:b/>
        </w:rPr>
        <w:t xml:space="preserve"> </w:t>
      </w:r>
      <w:r w:rsidR="00990AD6">
        <w:rPr>
          <w:rFonts w:cs="Arial"/>
          <w:b/>
        </w:rPr>
        <w:t xml:space="preserve">2. </w:t>
      </w:r>
      <w:r w:rsidR="00990AD6" w:rsidRPr="00990AD6">
        <w:rPr>
          <w:rFonts w:cs="Arial"/>
        </w:rPr>
        <w:t xml:space="preserve">Due to the nature of the rights/properties affected, it is not possible to identify the third party rights as they apply to the specific Areas.   However, </w:t>
      </w:r>
      <w:r w:rsidR="00927BC3">
        <w:rPr>
          <w:rFonts w:cs="Arial"/>
        </w:rPr>
        <w:t xml:space="preserve">the plan </w:t>
      </w:r>
      <w:r w:rsidR="00990AD6" w:rsidRPr="00990AD6">
        <w:rPr>
          <w:rFonts w:cs="Arial"/>
        </w:rPr>
        <w:t xml:space="preserve">marked ‘Indicative Site Model’ </w:t>
      </w:r>
      <w:r w:rsidR="00927BC3">
        <w:rPr>
          <w:rFonts w:cs="Arial"/>
        </w:rPr>
        <w:t xml:space="preserve">included within </w:t>
      </w:r>
      <w:r w:rsidR="00990AD6" w:rsidRPr="00990AD6">
        <w:rPr>
          <w:rFonts w:cs="Arial"/>
          <w:b/>
        </w:rPr>
        <w:t xml:space="preserve">Appendix </w:t>
      </w:r>
      <w:r w:rsidR="00990AD6">
        <w:rPr>
          <w:rFonts w:cs="Arial"/>
          <w:b/>
        </w:rPr>
        <w:t>2</w:t>
      </w:r>
      <w:r w:rsidR="00990AD6" w:rsidRPr="00990AD6">
        <w:rPr>
          <w:rFonts w:cs="Arial"/>
        </w:rPr>
        <w:t xml:space="preserve"> identifies the areas affected and can be read alongside the summary of </w:t>
      </w:r>
      <w:r w:rsidR="00990AD6">
        <w:rPr>
          <w:rFonts w:cs="Arial"/>
        </w:rPr>
        <w:t xml:space="preserve">negotiations. </w:t>
      </w:r>
    </w:p>
    <w:p w:rsidR="00990AD6" w:rsidRDefault="00990AD6" w:rsidP="00A03C52">
      <w:pPr>
        <w:pStyle w:val="ListParagraph"/>
        <w:autoSpaceDE w:val="0"/>
        <w:autoSpaceDN w:val="0"/>
        <w:adjustRightInd w:val="0"/>
        <w:jc w:val="both"/>
        <w:rPr>
          <w:rFonts w:cs="Arial"/>
        </w:rPr>
      </w:pPr>
    </w:p>
    <w:p w:rsidR="000D42A3" w:rsidRPr="00990AD6" w:rsidRDefault="00D947CB" w:rsidP="00A03C52">
      <w:pPr>
        <w:pStyle w:val="ListParagraph"/>
        <w:autoSpaceDE w:val="0"/>
        <w:autoSpaceDN w:val="0"/>
        <w:adjustRightInd w:val="0"/>
        <w:jc w:val="both"/>
        <w:rPr>
          <w:rFonts w:cs="Arial"/>
        </w:rPr>
      </w:pPr>
      <w:r w:rsidRPr="00990AD6">
        <w:rPr>
          <w:rFonts w:cs="Arial"/>
        </w:rPr>
        <w:t xml:space="preserve">WOALP </w:t>
      </w:r>
      <w:r w:rsidR="000D42A3" w:rsidRPr="00990AD6">
        <w:rPr>
          <w:rFonts w:cs="Arial"/>
        </w:rPr>
        <w:t xml:space="preserve">has made good progress and </w:t>
      </w:r>
      <w:r w:rsidRPr="00990AD6">
        <w:rPr>
          <w:rFonts w:cs="Arial"/>
        </w:rPr>
        <w:t xml:space="preserve">with the assistance of the Council where appropriate will continue to negotiate with the third parties (where the third party is willing) to seek to deal with matters by agreement.  WOALP has confirmed that this will continue notwithstanding that the Council may appropriate or acquire the relevant land for planning purposes, thus engaging s237.  Indeed, WOALP remains confident that agreement can be achieved in most cases.  </w:t>
      </w:r>
      <w:r w:rsidR="000F6291" w:rsidRPr="00990AD6">
        <w:rPr>
          <w:rFonts w:cs="Arial"/>
        </w:rPr>
        <w:t xml:space="preserve">There is, </w:t>
      </w:r>
      <w:r w:rsidRPr="00990AD6">
        <w:rPr>
          <w:rFonts w:cs="Arial"/>
        </w:rPr>
        <w:t xml:space="preserve">however, </w:t>
      </w:r>
      <w:r w:rsidR="000F6291" w:rsidRPr="00990AD6">
        <w:rPr>
          <w:rFonts w:cs="Arial"/>
        </w:rPr>
        <w:t xml:space="preserve">a concern </w:t>
      </w:r>
      <w:r w:rsidRPr="00990AD6">
        <w:rPr>
          <w:rFonts w:cs="Arial"/>
        </w:rPr>
        <w:t xml:space="preserve">that it may not be possible to conclude the negotiations with all third parties to enable the development to </w:t>
      </w:r>
      <w:proofErr w:type="gramStart"/>
      <w:r w:rsidRPr="00990AD6">
        <w:rPr>
          <w:rFonts w:cs="Arial"/>
        </w:rPr>
        <w:t>proceed</w:t>
      </w:r>
      <w:proofErr w:type="gramEnd"/>
      <w:r w:rsidRPr="00990AD6">
        <w:rPr>
          <w:rFonts w:cs="Arial"/>
        </w:rPr>
        <w:t xml:space="preserve"> on its current timetable, in which event, the programme for the works (and potentially the viability of the scheme) will be threatened.</w:t>
      </w:r>
    </w:p>
    <w:p w:rsidR="000D42A3" w:rsidRDefault="000D42A3" w:rsidP="008463B9">
      <w:pPr>
        <w:pStyle w:val="ListParagraph"/>
        <w:ind w:left="1440"/>
        <w:jc w:val="both"/>
        <w:rPr>
          <w:rFonts w:cs="Arial"/>
        </w:rPr>
      </w:pPr>
    </w:p>
    <w:p w:rsidR="005B254A" w:rsidRPr="006B151B" w:rsidRDefault="000D42A3" w:rsidP="00A03C52">
      <w:pPr>
        <w:pStyle w:val="ListParagraph"/>
        <w:autoSpaceDE w:val="0"/>
        <w:autoSpaceDN w:val="0"/>
        <w:adjustRightInd w:val="0"/>
        <w:jc w:val="both"/>
        <w:rPr>
          <w:rFonts w:cs="Arial"/>
        </w:rPr>
      </w:pPr>
      <w:r>
        <w:rPr>
          <w:rFonts w:cs="Arial"/>
        </w:rPr>
        <w:t xml:space="preserve">The </w:t>
      </w:r>
      <w:r w:rsidR="00EB7A8F">
        <w:rPr>
          <w:rFonts w:cs="Arial"/>
        </w:rPr>
        <w:t xml:space="preserve">timescale for negotiations to be concluded needs to be balanced against the need to ensure </w:t>
      </w:r>
      <w:r w:rsidR="000F6291">
        <w:rPr>
          <w:rFonts w:cs="Arial"/>
        </w:rPr>
        <w:t xml:space="preserve">the development programme is not unduly compromised </w:t>
      </w:r>
      <w:r w:rsidR="00EB7A8F">
        <w:rPr>
          <w:rFonts w:cs="Arial"/>
        </w:rPr>
        <w:t xml:space="preserve">in the event that negotiations fail.   Given the programme for the scheme and the adverse consequences if it becomes delayed, officers consider it appropriate for the appropriation/acquisition for planning purposes to proceed and </w:t>
      </w:r>
      <w:r w:rsidR="000F6291">
        <w:rPr>
          <w:rFonts w:cs="Arial"/>
        </w:rPr>
        <w:t xml:space="preserve">for </w:t>
      </w:r>
      <w:r w:rsidR="00EB7A8F">
        <w:rPr>
          <w:rFonts w:cs="Arial"/>
        </w:rPr>
        <w:t xml:space="preserve">negotiations </w:t>
      </w:r>
      <w:r w:rsidR="000F6291">
        <w:rPr>
          <w:rFonts w:cs="Arial"/>
        </w:rPr>
        <w:t xml:space="preserve">to </w:t>
      </w:r>
      <w:r w:rsidR="00EB7A8F">
        <w:rPr>
          <w:rFonts w:cs="Arial"/>
        </w:rPr>
        <w:t xml:space="preserve">continue against that background. </w:t>
      </w:r>
    </w:p>
    <w:p w:rsidR="006B151B" w:rsidRPr="006B151B" w:rsidRDefault="006B151B" w:rsidP="008463B9">
      <w:pPr>
        <w:pStyle w:val="ListParagraph"/>
        <w:ind w:left="1440"/>
        <w:jc w:val="both"/>
        <w:rPr>
          <w:rFonts w:cs="Arial"/>
          <w:u w:val="single"/>
        </w:rPr>
      </w:pPr>
    </w:p>
    <w:p w:rsidR="0060360B" w:rsidRDefault="0060360B" w:rsidP="00627E3E">
      <w:pPr>
        <w:pStyle w:val="ListParagraph"/>
        <w:numPr>
          <w:ilvl w:val="0"/>
          <w:numId w:val="10"/>
        </w:numPr>
        <w:tabs>
          <w:tab w:val="left" w:pos="1440"/>
        </w:tabs>
        <w:autoSpaceDE w:val="0"/>
        <w:autoSpaceDN w:val="0"/>
        <w:adjustRightInd w:val="0"/>
        <w:ind w:left="1440" w:hanging="731"/>
        <w:jc w:val="both"/>
        <w:rPr>
          <w:rFonts w:cs="Arial"/>
          <w:i/>
        </w:rPr>
      </w:pPr>
      <w:r w:rsidRPr="005B254A">
        <w:rPr>
          <w:rFonts w:cs="Arial"/>
          <w:i/>
        </w:rPr>
        <w:t xml:space="preserve">Is it in the public interest that the development proposed should be carried </w:t>
      </w:r>
      <w:proofErr w:type="gramStart"/>
      <w:r w:rsidRPr="005B254A">
        <w:rPr>
          <w:rFonts w:cs="Arial"/>
          <w:i/>
        </w:rPr>
        <w:t>out.</w:t>
      </w:r>
      <w:proofErr w:type="gramEnd"/>
      <w:r w:rsidRPr="005B254A">
        <w:rPr>
          <w:rFonts w:cs="Arial"/>
          <w:i/>
        </w:rPr>
        <w:t xml:space="preserve"> </w:t>
      </w:r>
    </w:p>
    <w:p w:rsidR="005B254A" w:rsidRDefault="005B254A" w:rsidP="005B254A">
      <w:pPr>
        <w:tabs>
          <w:tab w:val="left" w:pos="1440"/>
        </w:tabs>
        <w:autoSpaceDE w:val="0"/>
        <w:autoSpaceDN w:val="0"/>
        <w:adjustRightInd w:val="0"/>
        <w:jc w:val="both"/>
        <w:rPr>
          <w:rFonts w:cs="Arial"/>
          <w:i/>
        </w:rPr>
      </w:pPr>
    </w:p>
    <w:p w:rsidR="005B254A" w:rsidRPr="00995E1B" w:rsidRDefault="00995E1B" w:rsidP="00A03C52">
      <w:pPr>
        <w:pStyle w:val="ListParagraph"/>
        <w:autoSpaceDE w:val="0"/>
        <w:autoSpaceDN w:val="0"/>
        <w:adjustRightInd w:val="0"/>
        <w:jc w:val="both"/>
        <w:rPr>
          <w:rFonts w:cs="Arial"/>
        </w:rPr>
      </w:pPr>
      <w:r w:rsidRPr="00995E1B">
        <w:rPr>
          <w:rFonts w:cs="Arial"/>
        </w:rPr>
        <w:t xml:space="preserve">This is addressed </w:t>
      </w:r>
      <w:r w:rsidR="00076AF9">
        <w:rPr>
          <w:rFonts w:cs="Arial"/>
        </w:rPr>
        <w:t>by</w:t>
      </w:r>
      <w:r w:rsidRPr="00995E1B">
        <w:rPr>
          <w:rFonts w:cs="Arial"/>
        </w:rPr>
        <w:t xml:space="preserve"> </w:t>
      </w:r>
      <w:r w:rsidR="00076AF9">
        <w:rPr>
          <w:rFonts w:cs="Arial"/>
        </w:rPr>
        <w:t xml:space="preserve">the text at </w:t>
      </w:r>
      <w:r w:rsidRPr="00995E1B">
        <w:rPr>
          <w:rFonts w:cs="Arial"/>
        </w:rPr>
        <w:t xml:space="preserve">(b) above. </w:t>
      </w:r>
    </w:p>
    <w:p w:rsidR="0060360B" w:rsidRPr="00995E1B" w:rsidRDefault="0060360B" w:rsidP="00995E1B">
      <w:pPr>
        <w:jc w:val="both"/>
        <w:rPr>
          <w:rFonts w:cs="Arial"/>
        </w:rPr>
      </w:pPr>
    </w:p>
    <w:p w:rsidR="0060360B" w:rsidRPr="00995E1B" w:rsidRDefault="0060360B" w:rsidP="00627E3E">
      <w:pPr>
        <w:pStyle w:val="ListParagraph"/>
        <w:numPr>
          <w:ilvl w:val="0"/>
          <w:numId w:val="10"/>
        </w:numPr>
        <w:tabs>
          <w:tab w:val="left" w:pos="1440"/>
        </w:tabs>
        <w:autoSpaceDE w:val="0"/>
        <w:autoSpaceDN w:val="0"/>
        <w:adjustRightInd w:val="0"/>
        <w:ind w:left="1440" w:hanging="731"/>
        <w:jc w:val="both"/>
        <w:rPr>
          <w:rFonts w:cs="Arial"/>
          <w:i/>
        </w:rPr>
      </w:pPr>
      <w:r w:rsidRPr="00995E1B">
        <w:rPr>
          <w:rFonts w:cs="Arial"/>
          <w:i/>
        </w:rPr>
        <w:t xml:space="preserve">Should s237 be engaged to override the third party rights and if so would that be proportionate?  Human Rights </w:t>
      </w:r>
      <w:r w:rsidR="00E65039">
        <w:rPr>
          <w:rFonts w:cs="Arial"/>
          <w:i/>
        </w:rPr>
        <w:t xml:space="preserve">are </w:t>
      </w:r>
      <w:r w:rsidRPr="00995E1B">
        <w:rPr>
          <w:rFonts w:cs="Arial"/>
          <w:i/>
        </w:rPr>
        <w:t>required to be considered.</w:t>
      </w:r>
    </w:p>
    <w:p w:rsidR="00995E1B" w:rsidRDefault="00995E1B" w:rsidP="00995E1B">
      <w:pPr>
        <w:tabs>
          <w:tab w:val="left" w:pos="1440"/>
        </w:tabs>
        <w:autoSpaceDE w:val="0"/>
        <w:autoSpaceDN w:val="0"/>
        <w:adjustRightInd w:val="0"/>
        <w:jc w:val="both"/>
        <w:rPr>
          <w:rFonts w:cs="Arial"/>
        </w:rPr>
      </w:pPr>
    </w:p>
    <w:p w:rsidR="00995E1B" w:rsidRPr="00995E1B" w:rsidRDefault="00FE407B" w:rsidP="00A03C52">
      <w:pPr>
        <w:pStyle w:val="ListParagraph"/>
        <w:autoSpaceDE w:val="0"/>
        <w:autoSpaceDN w:val="0"/>
        <w:adjustRightInd w:val="0"/>
        <w:jc w:val="both"/>
        <w:rPr>
          <w:rFonts w:cs="Arial"/>
        </w:rPr>
      </w:pPr>
      <w:r>
        <w:rPr>
          <w:rFonts w:cs="Arial"/>
        </w:rPr>
        <w:t xml:space="preserve">Consideration must be given to the protections in </w:t>
      </w:r>
      <w:r w:rsidR="00995E1B">
        <w:rPr>
          <w:rFonts w:cs="Arial"/>
        </w:rPr>
        <w:t>Article 8</w:t>
      </w:r>
      <w:r w:rsidR="00E65039">
        <w:rPr>
          <w:rFonts w:cs="Arial"/>
        </w:rPr>
        <w:t xml:space="preserve"> of the </w:t>
      </w:r>
      <w:r w:rsidR="00995E1B">
        <w:rPr>
          <w:rFonts w:cs="Arial"/>
        </w:rPr>
        <w:t>Convention on Human Rights</w:t>
      </w:r>
      <w:r w:rsidR="00E65039">
        <w:rPr>
          <w:rFonts w:cs="Arial"/>
        </w:rPr>
        <w:t xml:space="preserve"> </w:t>
      </w:r>
      <w:r>
        <w:rPr>
          <w:rFonts w:cs="Arial"/>
        </w:rPr>
        <w:t xml:space="preserve">(right to respect for private and family life which applies in respect of residential occupiers) </w:t>
      </w:r>
      <w:r w:rsidR="00E65039">
        <w:rPr>
          <w:rFonts w:cs="Arial"/>
        </w:rPr>
        <w:t xml:space="preserve">and </w:t>
      </w:r>
      <w:r w:rsidR="00995E1B">
        <w:rPr>
          <w:rFonts w:cs="Arial"/>
        </w:rPr>
        <w:t xml:space="preserve">Article 1 </w:t>
      </w:r>
      <w:r w:rsidR="00E65039">
        <w:rPr>
          <w:rFonts w:cs="Arial"/>
        </w:rPr>
        <w:t xml:space="preserve">of the First Protocol </w:t>
      </w:r>
      <w:r>
        <w:rPr>
          <w:rFonts w:cs="Arial"/>
        </w:rPr>
        <w:t xml:space="preserve">(Protection of Property). </w:t>
      </w:r>
      <w:r w:rsidR="00995E1B">
        <w:rPr>
          <w:rFonts w:cs="Arial"/>
        </w:rPr>
        <w:t xml:space="preserve">In view of the significant regenerative public benefits which would be delivered through the re-development proposals, it is considered that interference with private rights is proportionate in this case.  As indicated below, any third party interference </w:t>
      </w:r>
      <w:r w:rsidR="00E23AEB">
        <w:rPr>
          <w:rFonts w:cs="Arial"/>
        </w:rPr>
        <w:t xml:space="preserve">with third party rights </w:t>
      </w:r>
      <w:r w:rsidR="00995E1B">
        <w:rPr>
          <w:rFonts w:cs="Arial"/>
        </w:rPr>
        <w:t>will carry a right to com</w:t>
      </w:r>
      <w:r>
        <w:rPr>
          <w:rFonts w:cs="Arial"/>
        </w:rPr>
        <w:t>p</w:t>
      </w:r>
      <w:r w:rsidR="00995E1B">
        <w:rPr>
          <w:rFonts w:cs="Arial"/>
        </w:rPr>
        <w:t>ensatio</w:t>
      </w:r>
      <w:r>
        <w:rPr>
          <w:rFonts w:cs="Arial"/>
        </w:rPr>
        <w:t>n</w:t>
      </w:r>
      <w:r w:rsidR="00995E1B">
        <w:rPr>
          <w:rFonts w:cs="Arial"/>
        </w:rPr>
        <w:t xml:space="preserve"> in re</w:t>
      </w:r>
      <w:r>
        <w:rPr>
          <w:rFonts w:cs="Arial"/>
        </w:rPr>
        <w:t xml:space="preserve">spect </w:t>
      </w:r>
      <w:r w:rsidR="00995E1B">
        <w:rPr>
          <w:rFonts w:cs="Arial"/>
        </w:rPr>
        <w:t xml:space="preserve">of any </w:t>
      </w:r>
      <w:r>
        <w:rPr>
          <w:rFonts w:cs="Arial"/>
        </w:rPr>
        <w:t xml:space="preserve">diminution </w:t>
      </w:r>
      <w:r w:rsidR="00995E1B">
        <w:rPr>
          <w:rFonts w:cs="Arial"/>
        </w:rPr>
        <w:t>in val</w:t>
      </w:r>
      <w:r>
        <w:rPr>
          <w:rFonts w:cs="Arial"/>
        </w:rPr>
        <w:t>u</w:t>
      </w:r>
      <w:r w:rsidR="00995E1B">
        <w:rPr>
          <w:rFonts w:cs="Arial"/>
        </w:rPr>
        <w:t xml:space="preserve">e </w:t>
      </w:r>
      <w:r>
        <w:rPr>
          <w:rFonts w:cs="Arial"/>
        </w:rPr>
        <w:t xml:space="preserve">which may occur in respect of </w:t>
      </w:r>
      <w:r w:rsidR="00E2392A">
        <w:rPr>
          <w:rFonts w:cs="Arial"/>
        </w:rPr>
        <w:t>t</w:t>
      </w:r>
      <w:r>
        <w:rPr>
          <w:rFonts w:cs="Arial"/>
        </w:rPr>
        <w:t xml:space="preserve">he third party’s land. </w:t>
      </w:r>
    </w:p>
    <w:p w:rsidR="00706233" w:rsidRDefault="00706233" w:rsidP="00706233">
      <w:pPr>
        <w:jc w:val="both"/>
        <w:rPr>
          <w:rFonts w:cs="Arial"/>
        </w:rPr>
      </w:pPr>
    </w:p>
    <w:p w:rsidR="00706233" w:rsidRPr="00706233" w:rsidRDefault="00706233" w:rsidP="00706233">
      <w:pPr>
        <w:jc w:val="both"/>
        <w:rPr>
          <w:rFonts w:cs="Arial"/>
          <w:b/>
        </w:rPr>
      </w:pPr>
      <w:r w:rsidRPr="00706233">
        <w:rPr>
          <w:rFonts w:cs="Arial"/>
          <w:b/>
        </w:rPr>
        <w:t>Compensation</w:t>
      </w:r>
    </w:p>
    <w:p w:rsidR="00706233" w:rsidRPr="00706233" w:rsidRDefault="00706233" w:rsidP="00706233">
      <w:pPr>
        <w:jc w:val="both"/>
        <w:rPr>
          <w:rFonts w:cs="Arial"/>
        </w:rPr>
      </w:pPr>
    </w:p>
    <w:p w:rsidR="00706233" w:rsidRPr="00706233" w:rsidRDefault="00706233" w:rsidP="00706233">
      <w:pPr>
        <w:pStyle w:val="ListParagraph"/>
        <w:numPr>
          <w:ilvl w:val="0"/>
          <w:numId w:val="5"/>
        </w:numPr>
        <w:jc w:val="both"/>
        <w:rPr>
          <w:rFonts w:cs="Arial"/>
        </w:rPr>
      </w:pPr>
      <w:r w:rsidRPr="00706233">
        <w:rPr>
          <w:rFonts w:cs="Arial"/>
        </w:rPr>
        <w:t>Once the land has been appropriated or acquired for planning purposes, then in respect of those third party rights which are interfered with as a result of the development, compensation will be payable based on the extent of any diminution in value of the third party’s land as a result of the in</w:t>
      </w:r>
      <w:r w:rsidR="000F6291">
        <w:rPr>
          <w:rFonts w:cs="Arial"/>
        </w:rPr>
        <w:t xml:space="preserve">terference with the </w:t>
      </w:r>
      <w:r w:rsidRPr="00706233">
        <w:rPr>
          <w:rFonts w:cs="Arial"/>
        </w:rPr>
        <w:t xml:space="preserve">right. </w:t>
      </w:r>
    </w:p>
    <w:p w:rsidR="00706233" w:rsidRPr="00706233" w:rsidRDefault="00706233" w:rsidP="00706233">
      <w:pPr>
        <w:jc w:val="both"/>
        <w:rPr>
          <w:rFonts w:cs="Arial"/>
        </w:rPr>
      </w:pPr>
    </w:p>
    <w:p w:rsidR="00706233" w:rsidRPr="00706233" w:rsidRDefault="00706233" w:rsidP="00706233">
      <w:pPr>
        <w:pStyle w:val="ListParagraph"/>
        <w:numPr>
          <w:ilvl w:val="0"/>
          <w:numId w:val="5"/>
        </w:numPr>
        <w:jc w:val="both"/>
        <w:rPr>
          <w:rFonts w:cs="Arial"/>
        </w:rPr>
      </w:pPr>
      <w:r w:rsidRPr="00706233">
        <w:rPr>
          <w:rFonts w:cs="Arial"/>
        </w:rPr>
        <w:t>Compensation is payable by the person interfering with the right (WOALP), but the Council will retain residual liability under s237 in the event WOALP fail to pay the compensation.  The development agreement and associated documents cover this issue</w:t>
      </w:r>
      <w:r w:rsidR="000F6291">
        <w:rPr>
          <w:rFonts w:cs="Arial"/>
        </w:rPr>
        <w:t>, however,</w:t>
      </w:r>
      <w:r w:rsidRPr="00706233">
        <w:rPr>
          <w:rFonts w:cs="Arial"/>
        </w:rPr>
        <w:t xml:space="preserve"> and provide appropriate indemnities/guarantees to the Council in respect of any s237 compensation payable</w:t>
      </w:r>
      <w:r w:rsidR="00835A5E">
        <w:rPr>
          <w:rFonts w:cs="Arial"/>
        </w:rPr>
        <w:t>.</w:t>
      </w:r>
    </w:p>
    <w:p w:rsidR="00D309AD" w:rsidRDefault="00D309AD" w:rsidP="00D309AD">
      <w:pPr>
        <w:jc w:val="both"/>
        <w:rPr>
          <w:rFonts w:cs="Arial"/>
        </w:rPr>
      </w:pPr>
    </w:p>
    <w:p w:rsidR="00D309AD" w:rsidRPr="00D309AD" w:rsidRDefault="00D309AD" w:rsidP="00D309AD">
      <w:pPr>
        <w:jc w:val="both"/>
        <w:rPr>
          <w:rFonts w:cs="Arial"/>
          <w:b/>
        </w:rPr>
      </w:pPr>
      <w:r w:rsidRPr="00D309AD">
        <w:rPr>
          <w:rFonts w:cs="Arial"/>
          <w:b/>
        </w:rPr>
        <w:t>Open space issues</w:t>
      </w:r>
    </w:p>
    <w:p w:rsidR="00E70123" w:rsidRPr="002E17B2" w:rsidRDefault="00E70123" w:rsidP="00D309AD">
      <w:pPr>
        <w:jc w:val="both"/>
      </w:pPr>
    </w:p>
    <w:p w:rsidR="00627E3E" w:rsidRDefault="000A0666" w:rsidP="00D309AD">
      <w:pPr>
        <w:pStyle w:val="ListParagraph"/>
        <w:numPr>
          <w:ilvl w:val="0"/>
          <w:numId w:val="5"/>
        </w:numPr>
        <w:jc w:val="both"/>
      </w:pPr>
      <w:r>
        <w:t xml:space="preserve">Where </w:t>
      </w:r>
      <w:r w:rsidR="00D309AD" w:rsidRPr="00D309AD">
        <w:t>land consist</w:t>
      </w:r>
      <w:r w:rsidR="00D309AD">
        <w:t>s of</w:t>
      </w:r>
      <w:r w:rsidR="00D309AD" w:rsidRPr="00D309AD">
        <w:t xml:space="preserve"> or form</w:t>
      </w:r>
      <w:r w:rsidR="00D309AD">
        <w:t>s</w:t>
      </w:r>
      <w:r w:rsidR="00D309AD" w:rsidRPr="00D309AD">
        <w:t xml:space="preserve"> part of an open space</w:t>
      </w:r>
      <w:r>
        <w:t xml:space="preserve">, s122 of the 1972 Act provides that an authority cannot appropriate such land unless it has </w:t>
      </w:r>
      <w:r w:rsidR="00627E3E">
        <w:t>advertise</w:t>
      </w:r>
      <w:r>
        <w:t>d</w:t>
      </w:r>
      <w:r w:rsidR="00627E3E">
        <w:t xml:space="preserve"> its intention to do so for </w:t>
      </w:r>
      <w:r w:rsidR="00627E3E" w:rsidRPr="00627E3E">
        <w:t xml:space="preserve">two consecutive weeks in a </w:t>
      </w:r>
      <w:r w:rsidR="00627E3E">
        <w:t xml:space="preserve">local </w:t>
      </w:r>
      <w:r w:rsidR="00627E3E" w:rsidRPr="00627E3E">
        <w:t>newspaper</w:t>
      </w:r>
      <w:r w:rsidR="00627E3E">
        <w:t xml:space="preserve"> and </w:t>
      </w:r>
      <w:r>
        <w:t xml:space="preserve">has considered </w:t>
      </w:r>
      <w:r w:rsidR="00627E3E" w:rsidRPr="00627E3E">
        <w:t>any objections to the proposed appropriation</w:t>
      </w:r>
      <w:r w:rsidR="00627E3E">
        <w:t xml:space="preserve">. </w:t>
      </w:r>
      <w:r w:rsidR="00627E3E" w:rsidRPr="00627E3E">
        <w:t xml:space="preserve"> </w:t>
      </w:r>
      <w:r w:rsidR="00627E3E">
        <w:t xml:space="preserve">‘Open space’ for these purposes </w:t>
      </w:r>
      <w:r w:rsidR="00076AF9">
        <w:t xml:space="preserve">has the meaning given in s336 of the 1990 Act: </w:t>
      </w:r>
      <w:r w:rsidR="00627E3E">
        <w:t>“</w:t>
      </w:r>
      <w:r w:rsidR="00627E3E" w:rsidRPr="00627E3E">
        <w:t xml:space="preserve">land </w:t>
      </w:r>
      <w:proofErr w:type="gramStart"/>
      <w:r w:rsidR="00627E3E" w:rsidRPr="00627E3E">
        <w:t>laid</w:t>
      </w:r>
      <w:proofErr w:type="gramEnd"/>
      <w:r w:rsidR="00627E3E" w:rsidRPr="00627E3E">
        <w:t xml:space="preserve"> out as a public garden, or used for the purposes of public recreation, or land which is a disused burial ground</w:t>
      </w:r>
      <w:r w:rsidR="00627E3E">
        <w:t xml:space="preserve">”.  </w:t>
      </w:r>
    </w:p>
    <w:p w:rsidR="00627E3E" w:rsidRDefault="00627E3E" w:rsidP="00627E3E">
      <w:pPr>
        <w:pStyle w:val="ListParagraph"/>
      </w:pPr>
    </w:p>
    <w:p w:rsidR="00AC44E3" w:rsidRDefault="00627E3E" w:rsidP="00D876F8">
      <w:pPr>
        <w:pStyle w:val="ListParagraph"/>
        <w:numPr>
          <w:ilvl w:val="0"/>
          <w:numId w:val="5"/>
        </w:numPr>
        <w:jc w:val="both"/>
      </w:pPr>
      <w:r w:rsidRPr="00627E3E">
        <w:t xml:space="preserve">Within Area B and </w:t>
      </w:r>
      <w:r>
        <w:t xml:space="preserve">shown </w:t>
      </w:r>
      <w:r w:rsidR="00AC44E3">
        <w:t xml:space="preserve">hatched black on the </w:t>
      </w:r>
      <w:r>
        <w:t xml:space="preserve">attached </w:t>
      </w:r>
      <w:r w:rsidRPr="00627E3E">
        <w:t xml:space="preserve">plan are </w:t>
      </w:r>
      <w:r w:rsidR="00AC44E3">
        <w:t xml:space="preserve">a number of </w:t>
      </w:r>
      <w:r w:rsidRPr="00627E3E">
        <w:t>open areas</w:t>
      </w:r>
      <w:r w:rsidR="00D876F8">
        <w:t xml:space="preserve"> </w:t>
      </w:r>
      <w:r w:rsidR="00AC44E3">
        <w:t>as follows:</w:t>
      </w:r>
    </w:p>
    <w:p w:rsidR="00AC44E3" w:rsidRDefault="00AC44E3" w:rsidP="00AC44E3">
      <w:pPr>
        <w:pStyle w:val="ListParagraph"/>
      </w:pPr>
    </w:p>
    <w:p w:rsidR="00AC44E3" w:rsidRDefault="00AC44E3" w:rsidP="00AC44E3">
      <w:pPr>
        <w:pStyle w:val="ListParagraph"/>
        <w:numPr>
          <w:ilvl w:val="0"/>
          <w:numId w:val="11"/>
        </w:numPr>
        <w:tabs>
          <w:tab w:val="left" w:pos="1440"/>
        </w:tabs>
        <w:autoSpaceDE w:val="0"/>
        <w:autoSpaceDN w:val="0"/>
        <w:adjustRightInd w:val="0"/>
        <w:ind w:left="1440" w:hanging="720"/>
        <w:jc w:val="both"/>
      </w:pPr>
      <w:r>
        <w:t xml:space="preserve">A grassed area to the rear of the Westgate Centre (incorporating the Roger Bacon plaque); </w:t>
      </w:r>
    </w:p>
    <w:p w:rsidR="00AC44E3" w:rsidRDefault="00AC44E3" w:rsidP="00AC44E3">
      <w:pPr>
        <w:pStyle w:val="ListParagraph"/>
        <w:tabs>
          <w:tab w:val="left" w:pos="1440"/>
        </w:tabs>
        <w:autoSpaceDE w:val="0"/>
        <w:autoSpaceDN w:val="0"/>
        <w:adjustRightInd w:val="0"/>
        <w:ind w:left="1069"/>
        <w:jc w:val="both"/>
      </w:pPr>
    </w:p>
    <w:p w:rsidR="00AC44E3" w:rsidRDefault="00AC44E3" w:rsidP="00AC44E3">
      <w:pPr>
        <w:pStyle w:val="ListParagraph"/>
        <w:numPr>
          <w:ilvl w:val="0"/>
          <w:numId w:val="11"/>
        </w:numPr>
        <w:tabs>
          <w:tab w:val="left" w:pos="1440"/>
        </w:tabs>
        <w:autoSpaceDE w:val="0"/>
        <w:autoSpaceDN w:val="0"/>
        <w:adjustRightInd w:val="0"/>
        <w:ind w:left="1440" w:hanging="720"/>
        <w:jc w:val="both"/>
      </w:pPr>
      <w:r>
        <w:t xml:space="preserve">A planted flower bed surrounded by pavement at the junction of Turn Again Lane and Old </w:t>
      </w:r>
      <w:proofErr w:type="spellStart"/>
      <w:r>
        <w:t>Greyfriars</w:t>
      </w:r>
      <w:proofErr w:type="spellEnd"/>
      <w:r>
        <w:t xml:space="preserve"> Street;</w:t>
      </w:r>
    </w:p>
    <w:p w:rsidR="00AC44E3" w:rsidRDefault="00AC44E3" w:rsidP="00AC44E3">
      <w:pPr>
        <w:tabs>
          <w:tab w:val="left" w:pos="1440"/>
        </w:tabs>
        <w:autoSpaceDE w:val="0"/>
        <w:autoSpaceDN w:val="0"/>
        <w:adjustRightInd w:val="0"/>
        <w:jc w:val="both"/>
      </w:pPr>
    </w:p>
    <w:p w:rsidR="00AC44E3" w:rsidRDefault="00AC44E3" w:rsidP="00C864B4">
      <w:pPr>
        <w:pStyle w:val="ListParagraph"/>
        <w:numPr>
          <w:ilvl w:val="0"/>
          <w:numId w:val="11"/>
        </w:numPr>
        <w:tabs>
          <w:tab w:val="left" w:pos="1440"/>
        </w:tabs>
        <w:autoSpaceDE w:val="0"/>
        <w:autoSpaceDN w:val="0"/>
        <w:adjustRightInd w:val="0"/>
        <w:ind w:left="1440" w:hanging="720"/>
        <w:jc w:val="both"/>
      </w:pPr>
      <w:r>
        <w:t xml:space="preserve">A strip of land which wraps around the northern and eastern boundaries of the existing multi-storey car park where it fronts Old </w:t>
      </w:r>
      <w:proofErr w:type="spellStart"/>
      <w:r>
        <w:t>Greyfriars</w:t>
      </w:r>
      <w:proofErr w:type="spellEnd"/>
      <w:r>
        <w:t xml:space="preserve"> Street and Castle Street;</w:t>
      </w:r>
    </w:p>
    <w:p w:rsidR="00C864B4" w:rsidRDefault="00C864B4" w:rsidP="00C864B4">
      <w:pPr>
        <w:tabs>
          <w:tab w:val="left" w:pos="1440"/>
        </w:tabs>
        <w:autoSpaceDE w:val="0"/>
        <w:autoSpaceDN w:val="0"/>
        <w:adjustRightInd w:val="0"/>
        <w:jc w:val="both"/>
      </w:pPr>
    </w:p>
    <w:p w:rsidR="00AC44E3" w:rsidRDefault="00AC44E3" w:rsidP="00C864B4">
      <w:pPr>
        <w:pStyle w:val="ListParagraph"/>
        <w:numPr>
          <w:ilvl w:val="0"/>
          <w:numId w:val="11"/>
        </w:numPr>
        <w:tabs>
          <w:tab w:val="left" w:pos="1440"/>
        </w:tabs>
        <w:autoSpaceDE w:val="0"/>
        <w:autoSpaceDN w:val="0"/>
        <w:adjustRightInd w:val="0"/>
        <w:ind w:left="1440" w:hanging="720"/>
        <w:jc w:val="both"/>
      </w:pPr>
      <w:r>
        <w:t>A planted area adjacent to Castle Street to the south of the existing multi-storey car park;</w:t>
      </w:r>
    </w:p>
    <w:p w:rsidR="00C864B4" w:rsidRDefault="00C864B4" w:rsidP="00C864B4">
      <w:pPr>
        <w:pStyle w:val="ListParagraph"/>
      </w:pPr>
    </w:p>
    <w:p w:rsidR="00AC44E3" w:rsidRDefault="00AC44E3" w:rsidP="00C864B4">
      <w:pPr>
        <w:pStyle w:val="ListParagraph"/>
        <w:numPr>
          <w:ilvl w:val="0"/>
          <w:numId w:val="11"/>
        </w:numPr>
        <w:tabs>
          <w:tab w:val="left" w:pos="1440"/>
        </w:tabs>
        <w:autoSpaceDE w:val="0"/>
        <w:autoSpaceDN w:val="0"/>
        <w:adjustRightInd w:val="0"/>
        <w:ind w:left="1440" w:hanging="720"/>
        <w:jc w:val="both"/>
      </w:pPr>
      <w:r>
        <w:t xml:space="preserve">An area of tree-lined highway verge located between the surface car park and Old </w:t>
      </w:r>
      <w:proofErr w:type="spellStart"/>
      <w:r>
        <w:t>Greyfriars</w:t>
      </w:r>
      <w:proofErr w:type="spellEnd"/>
      <w:r>
        <w:t xml:space="preserve"> Street;</w:t>
      </w:r>
      <w:r w:rsidR="00C864B4">
        <w:t xml:space="preserve"> and</w:t>
      </w:r>
    </w:p>
    <w:p w:rsidR="00C864B4" w:rsidRDefault="00C864B4" w:rsidP="00C864B4">
      <w:pPr>
        <w:pStyle w:val="ListParagraph"/>
      </w:pPr>
    </w:p>
    <w:p w:rsidR="00C864B4" w:rsidRDefault="00C864B4" w:rsidP="00C864B4">
      <w:pPr>
        <w:pStyle w:val="ListParagraph"/>
        <w:numPr>
          <w:ilvl w:val="0"/>
          <w:numId w:val="11"/>
        </w:numPr>
        <w:tabs>
          <w:tab w:val="left" w:pos="1440"/>
        </w:tabs>
        <w:autoSpaceDE w:val="0"/>
        <w:autoSpaceDN w:val="0"/>
        <w:adjustRightInd w:val="0"/>
        <w:ind w:left="1440" w:hanging="720"/>
        <w:jc w:val="both"/>
      </w:pPr>
      <w:r w:rsidRPr="00C864B4">
        <w:t xml:space="preserve">An area of tree-lined verge to the south of the existing multi-storey car park adjacent to the car park exit onto Old </w:t>
      </w:r>
      <w:proofErr w:type="spellStart"/>
      <w:r w:rsidRPr="00C864B4">
        <w:t>Greyfriars</w:t>
      </w:r>
      <w:proofErr w:type="spellEnd"/>
      <w:r w:rsidRPr="00C864B4">
        <w:t xml:space="preserve"> Street;</w:t>
      </w:r>
    </w:p>
    <w:p w:rsidR="00AC44E3" w:rsidRDefault="00AC44E3" w:rsidP="00C864B4">
      <w:pPr>
        <w:jc w:val="both"/>
      </w:pPr>
    </w:p>
    <w:p w:rsidR="00C864B4" w:rsidRDefault="00AC44E3" w:rsidP="00C864B4">
      <w:pPr>
        <w:pStyle w:val="ListParagraph"/>
        <w:jc w:val="both"/>
      </w:pPr>
      <w:r w:rsidRPr="00AC44E3">
        <w:t>Photographs of these areas are attached to this Report (</w:t>
      </w:r>
      <w:r w:rsidRPr="00076AF9">
        <w:rPr>
          <w:b/>
        </w:rPr>
        <w:t xml:space="preserve">Appendix </w:t>
      </w:r>
      <w:r w:rsidR="00990AD6">
        <w:rPr>
          <w:b/>
        </w:rPr>
        <w:t>3</w:t>
      </w:r>
      <w:r w:rsidRPr="00AC44E3">
        <w:t xml:space="preserve">). </w:t>
      </w:r>
      <w:r w:rsidR="00835A5E" w:rsidRPr="00835A5E">
        <w:t xml:space="preserve">The grassed area between Old </w:t>
      </w:r>
      <w:proofErr w:type="spellStart"/>
      <w:r w:rsidR="00835A5E" w:rsidRPr="00835A5E">
        <w:t>Greyfriars</w:t>
      </w:r>
      <w:proofErr w:type="spellEnd"/>
      <w:r w:rsidR="00835A5E" w:rsidRPr="00835A5E">
        <w:t xml:space="preserve"> Street and the existing Westgate shopping centre is proposed to be used for cycle parking and seating.  The other areas south of and west of Old </w:t>
      </w:r>
      <w:proofErr w:type="spellStart"/>
      <w:r w:rsidR="00835A5E" w:rsidRPr="00835A5E">
        <w:t>Greyfriars</w:t>
      </w:r>
      <w:proofErr w:type="spellEnd"/>
      <w:r w:rsidR="00835A5E" w:rsidRPr="00835A5E">
        <w:t xml:space="preserve"> Street fall either under the new building or within the public highway on the east side of Norfolk Street. </w:t>
      </w:r>
    </w:p>
    <w:p w:rsidR="00C864B4" w:rsidRDefault="00C864B4" w:rsidP="00C864B4">
      <w:pPr>
        <w:pStyle w:val="ListParagraph"/>
        <w:jc w:val="both"/>
      </w:pPr>
    </w:p>
    <w:p w:rsidR="00B43943" w:rsidRDefault="00AC44E3" w:rsidP="00C864B4">
      <w:pPr>
        <w:pStyle w:val="ListParagraph"/>
        <w:numPr>
          <w:ilvl w:val="0"/>
          <w:numId w:val="5"/>
        </w:numPr>
        <w:jc w:val="both"/>
      </w:pPr>
      <w:r w:rsidRPr="00AC44E3">
        <w:t xml:space="preserve"> The only part of the definition of open space </w:t>
      </w:r>
      <w:r w:rsidR="00C864B4">
        <w:t xml:space="preserve">in Section 336 of the 1990 Act </w:t>
      </w:r>
      <w:r w:rsidRPr="00AC44E3">
        <w:t xml:space="preserve">which could apply to these areas is land ‘used for the purposes of public recreation’.  Officers consider it is doubtful that </w:t>
      </w:r>
      <w:r w:rsidR="00C864B4">
        <w:t xml:space="preserve">any of these </w:t>
      </w:r>
      <w:r w:rsidRPr="00AC44E3">
        <w:t xml:space="preserve">areas fall within the definition.  </w:t>
      </w:r>
      <w:r w:rsidR="00C864B4">
        <w:t xml:space="preserve">In relation to the areas which are planted up, </w:t>
      </w:r>
      <w:r w:rsidR="00076AF9">
        <w:t xml:space="preserve">officers are not aware of any </w:t>
      </w:r>
      <w:r w:rsidRPr="00AC44E3">
        <w:t>use for public recreation, no</w:t>
      </w:r>
      <w:r w:rsidR="00C864B4">
        <w:t>r</w:t>
      </w:r>
      <w:r w:rsidRPr="00AC44E3">
        <w:t xml:space="preserve"> could </w:t>
      </w:r>
      <w:r w:rsidR="00C864B4">
        <w:t>the</w:t>
      </w:r>
      <w:r w:rsidR="00076AF9">
        <w:t xml:space="preserve">se areas </w:t>
      </w:r>
      <w:r w:rsidRPr="00AC44E3">
        <w:t xml:space="preserve">reasonably be so used.  </w:t>
      </w:r>
      <w:r w:rsidR="00076AF9">
        <w:t>In re</w:t>
      </w:r>
      <w:r w:rsidR="00835A5E">
        <w:t>lation to the other two areas (</w:t>
      </w:r>
      <w:r w:rsidR="00076AF9">
        <w:t>a) and (b) above), i</w:t>
      </w:r>
      <w:r w:rsidRPr="00AC44E3">
        <w:t>t is understood that people occasionally walk across th</w:t>
      </w:r>
      <w:r w:rsidR="00C864B4">
        <w:t>e</w:t>
      </w:r>
      <w:r w:rsidR="003F5D43">
        <w:t xml:space="preserve">se </w:t>
      </w:r>
      <w:r w:rsidR="00C864B4">
        <w:t xml:space="preserve">areas and that </w:t>
      </w:r>
      <w:r w:rsidRPr="00AC44E3">
        <w:t>workers from the shopping centre sit out on it and eat their lunch from time to time when the weather is fair</w:t>
      </w:r>
      <w:r w:rsidR="00076AF9">
        <w:t xml:space="preserve"> on the area referred to at (a)</w:t>
      </w:r>
      <w:r w:rsidR="00C864B4">
        <w:t xml:space="preserve">, </w:t>
      </w:r>
      <w:r w:rsidRPr="00AC44E3">
        <w:t xml:space="preserve">but officers consider that </w:t>
      </w:r>
      <w:r w:rsidR="003F5D43">
        <w:t xml:space="preserve">such </w:t>
      </w:r>
      <w:r w:rsidRPr="00AC44E3">
        <w:t>use does not reasonably amount to use for ‘public recreation’.</w:t>
      </w:r>
      <w:r w:rsidR="00C864B4" w:rsidRPr="00C864B4">
        <w:t xml:space="preserve"> </w:t>
      </w:r>
    </w:p>
    <w:p w:rsidR="00C864B4" w:rsidRDefault="00C864B4" w:rsidP="00C864B4">
      <w:pPr>
        <w:pStyle w:val="ListParagraph"/>
        <w:ind w:left="680"/>
        <w:jc w:val="both"/>
      </w:pPr>
    </w:p>
    <w:p w:rsidR="00DB2437" w:rsidRDefault="00DB2437" w:rsidP="00D309AD">
      <w:pPr>
        <w:pStyle w:val="ListParagraph"/>
        <w:numPr>
          <w:ilvl w:val="0"/>
          <w:numId w:val="5"/>
        </w:numPr>
        <w:jc w:val="both"/>
      </w:pPr>
      <w:r>
        <w:t xml:space="preserve">Notwithstanding officers views, given there could be doubt over whether the </w:t>
      </w:r>
      <w:r w:rsidR="00B43943">
        <w:t xml:space="preserve">areas in question are open space </w:t>
      </w:r>
      <w:r w:rsidR="000263F6">
        <w:t xml:space="preserve">as defined, </w:t>
      </w:r>
      <w:r w:rsidR="00B43943">
        <w:t xml:space="preserve">officers consider it </w:t>
      </w:r>
      <w:r w:rsidR="000A0666">
        <w:t xml:space="preserve">would be prudent </w:t>
      </w:r>
      <w:r w:rsidR="00B43943">
        <w:t>to advertise the intended appropriation</w:t>
      </w:r>
      <w:r w:rsidR="000263F6">
        <w:t xml:space="preserve"> </w:t>
      </w:r>
      <w:r w:rsidR="00076AF9">
        <w:t xml:space="preserve">in accordance with s122 of the 1972 Act </w:t>
      </w:r>
      <w:r w:rsidR="000263F6">
        <w:t>and thus approval is sought to place the necessary advertisements.</w:t>
      </w:r>
    </w:p>
    <w:p w:rsidR="00835A5E" w:rsidRDefault="00835A5E" w:rsidP="00835A5E">
      <w:pPr>
        <w:pStyle w:val="ListParagraph"/>
      </w:pPr>
    </w:p>
    <w:p w:rsidR="00835A5E" w:rsidRDefault="00835A5E" w:rsidP="00835A5E">
      <w:pPr>
        <w:jc w:val="both"/>
      </w:pPr>
    </w:p>
    <w:p w:rsidR="00E23AEB" w:rsidRDefault="00E23AEB" w:rsidP="00E23AEB">
      <w:pPr>
        <w:pStyle w:val="ListParagraph"/>
      </w:pPr>
    </w:p>
    <w:p w:rsidR="00E23AEB" w:rsidRPr="00E23AEB" w:rsidRDefault="00E23AEB" w:rsidP="00E23AEB">
      <w:pPr>
        <w:jc w:val="both"/>
        <w:rPr>
          <w:b/>
        </w:rPr>
      </w:pPr>
      <w:r w:rsidRPr="00E23AEB">
        <w:rPr>
          <w:b/>
        </w:rPr>
        <w:t>Conclusion</w:t>
      </w:r>
    </w:p>
    <w:p w:rsidR="00DB2437" w:rsidRDefault="00DB2437" w:rsidP="00DB2437">
      <w:pPr>
        <w:pStyle w:val="ListParagraph"/>
      </w:pPr>
    </w:p>
    <w:p w:rsidR="00E70123" w:rsidRDefault="00CD492A" w:rsidP="00E23AEB">
      <w:pPr>
        <w:pStyle w:val="ListParagraph"/>
        <w:numPr>
          <w:ilvl w:val="0"/>
          <w:numId w:val="5"/>
        </w:numPr>
        <w:jc w:val="both"/>
      </w:pPr>
      <w:r>
        <w:t xml:space="preserve">It is considered that the </w:t>
      </w:r>
      <w:proofErr w:type="gramStart"/>
      <w:r>
        <w:t xml:space="preserve">basis for </w:t>
      </w:r>
      <w:r w:rsidR="00E23AEB">
        <w:t xml:space="preserve">appropriation </w:t>
      </w:r>
      <w:r w:rsidR="00924B3E">
        <w:t xml:space="preserve">of Area B as set out in this Report </w:t>
      </w:r>
      <w:r w:rsidR="00E23AEB">
        <w:t>are</w:t>
      </w:r>
      <w:proofErr w:type="gramEnd"/>
      <w:r w:rsidR="00E23AEB">
        <w:t xml:space="preserve"> </w:t>
      </w:r>
      <w:r w:rsidR="00924B3E">
        <w:t xml:space="preserve">satisfied </w:t>
      </w:r>
      <w:r w:rsidR="00E23AEB">
        <w:t xml:space="preserve">in principle.  In relation to the areas </w:t>
      </w:r>
      <w:r w:rsidR="00076AF9">
        <w:t xml:space="preserve">shown hatched black </w:t>
      </w:r>
      <w:r w:rsidR="00E23AEB">
        <w:t xml:space="preserve">on the </w:t>
      </w:r>
      <w:r w:rsidR="00076AF9">
        <w:t>Appropriation P</w:t>
      </w:r>
      <w:r w:rsidR="00E23AEB">
        <w:t>lan, however, the intention to appropriate should first be advertised pursuant to the requirements of s122 of the 1972 Act.  F</w:t>
      </w:r>
      <w:r w:rsidR="00DB2437">
        <w:t xml:space="preserve">ollowing the end of the advertisement period, </w:t>
      </w:r>
      <w:r w:rsidR="00E23AEB">
        <w:t xml:space="preserve"> </w:t>
      </w:r>
      <w:r w:rsidR="00DB2437">
        <w:t xml:space="preserve">this Report and its recommendations </w:t>
      </w:r>
      <w:r w:rsidR="00E23AEB">
        <w:t xml:space="preserve">regarding the appropriation of Area B </w:t>
      </w:r>
      <w:r w:rsidR="00DB2437">
        <w:t xml:space="preserve">will be </w:t>
      </w:r>
      <w:r w:rsidR="000263F6">
        <w:t xml:space="preserve">updated as </w:t>
      </w:r>
      <w:r w:rsidR="00DB2437">
        <w:t xml:space="preserve">necessary and </w:t>
      </w:r>
      <w:r w:rsidR="000263F6">
        <w:t xml:space="preserve">appropriate </w:t>
      </w:r>
      <w:r w:rsidR="00E03633">
        <w:t>to reflect the responses (if any) received</w:t>
      </w:r>
      <w:r w:rsidR="00E23AEB">
        <w:t xml:space="preserve"> and the </w:t>
      </w:r>
      <w:r w:rsidR="00924B3E">
        <w:t xml:space="preserve">question of the appropriation of Area B </w:t>
      </w:r>
      <w:r w:rsidR="00DB2437">
        <w:t xml:space="preserve">presented for </w:t>
      </w:r>
      <w:r w:rsidR="00706233">
        <w:t>final decision</w:t>
      </w:r>
      <w:r w:rsidR="00E03633">
        <w:t xml:space="preserve">. </w:t>
      </w:r>
    </w:p>
    <w:p w:rsidR="00E23AEB" w:rsidRDefault="00E23AEB" w:rsidP="00E23AEB">
      <w:pPr>
        <w:jc w:val="both"/>
      </w:pPr>
    </w:p>
    <w:p w:rsidR="00E70123" w:rsidRDefault="003A5697" w:rsidP="00E23AEB">
      <w:pPr>
        <w:pStyle w:val="ListParagraph"/>
        <w:numPr>
          <w:ilvl w:val="0"/>
          <w:numId w:val="5"/>
        </w:numPr>
        <w:jc w:val="both"/>
      </w:pPr>
      <w:r>
        <w:t>It is considered that Area C to be transferred to the Council by WOALP pursuant to the Development Agreement ahead of the grant of a long lease is appropriately an acquisition for planning purposes pursuant to s227 of the 1990 Act and this should be confirmed accordingly.</w:t>
      </w:r>
    </w:p>
    <w:p w:rsidR="00CB6D1C" w:rsidRDefault="00CB6D1C" w:rsidP="00CB6D1C">
      <w:pPr>
        <w:pStyle w:val="ListParagraph"/>
      </w:pPr>
    </w:p>
    <w:p w:rsidR="00CB6D1C" w:rsidRPr="002E17B2" w:rsidRDefault="00CB6D1C" w:rsidP="00CB6D1C">
      <w:pPr>
        <w:pStyle w:val="ListParagraph"/>
        <w:ind w:left="680"/>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E70123" w:rsidRPr="002E17B2" w:rsidTr="009C0CDE">
        <w:tc>
          <w:tcPr>
            <w:tcW w:w="8522" w:type="dxa"/>
            <w:tcBorders>
              <w:top w:val="single" w:sz="4" w:space="0" w:color="auto"/>
            </w:tcBorders>
          </w:tcPr>
          <w:p w:rsidR="00E70123" w:rsidRPr="002E17B2" w:rsidRDefault="00E70123" w:rsidP="009C0CDE">
            <w:pPr>
              <w:tabs>
                <w:tab w:val="left" w:pos="720"/>
                <w:tab w:val="left" w:pos="1440"/>
                <w:tab w:val="left" w:pos="2160"/>
                <w:tab w:val="left" w:pos="2880"/>
              </w:tabs>
            </w:pPr>
            <w:r w:rsidRPr="002E17B2">
              <w:rPr>
                <w:b/>
                <w:bCs/>
              </w:rPr>
              <w:t>Name and contact details of author:-</w:t>
            </w: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p w:rsidR="00DA0E36" w:rsidRDefault="00DA0E36" w:rsidP="00DA0E36">
            <w:pPr>
              <w:tabs>
                <w:tab w:val="left" w:pos="720"/>
                <w:tab w:val="left" w:pos="1440"/>
                <w:tab w:val="left" w:pos="2160"/>
                <w:tab w:val="left" w:pos="2880"/>
              </w:tabs>
            </w:pPr>
            <w:r>
              <w:t>Jane Winfield</w:t>
            </w:r>
            <w:r w:rsidR="00CB6D1C">
              <w:t xml:space="preserve"> Service Manager Regeneration and Major Projects</w:t>
            </w:r>
          </w:p>
          <w:p w:rsidR="00DA0E36" w:rsidRDefault="00CB6D1C" w:rsidP="00DA0E36">
            <w:pPr>
              <w:tabs>
                <w:tab w:val="left" w:pos="720"/>
                <w:tab w:val="left" w:pos="1440"/>
                <w:tab w:val="left" w:pos="2160"/>
                <w:tab w:val="left" w:pos="2880"/>
              </w:tabs>
            </w:pPr>
            <w:r>
              <w:t xml:space="preserve">St </w:t>
            </w:r>
            <w:proofErr w:type="spellStart"/>
            <w:r>
              <w:t>Aldates</w:t>
            </w:r>
            <w:proofErr w:type="spellEnd"/>
            <w:r>
              <w:t xml:space="preserve"> Chambers, St </w:t>
            </w:r>
            <w:proofErr w:type="spellStart"/>
            <w:r>
              <w:t>Aldates</w:t>
            </w:r>
            <w:proofErr w:type="spellEnd"/>
            <w:r>
              <w:t>, Oxford OX1 1DS</w:t>
            </w:r>
          </w:p>
          <w:p w:rsidR="00CB6D1C" w:rsidRDefault="00CB6D1C" w:rsidP="00DA0E36">
            <w:pPr>
              <w:tabs>
                <w:tab w:val="left" w:pos="720"/>
                <w:tab w:val="left" w:pos="1440"/>
                <w:tab w:val="left" w:pos="2160"/>
                <w:tab w:val="left" w:pos="2880"/>
              </w:tabs>
            </w:pPr>
          </w:p>
          <w:p w:rsidR="00DA0E36" w:rsidRDefault="00CB6D1C" w:rsidP="00DA0E36">
            <w:pPr>
              <w:tabs>
                <w:tab w:val="left" w:pos="720"/>
                <w:tab w:val="left" w:pos="1440"/>
                <w:tab w:val="left" w:pos="2160"/>
                <w:tab w:val="left" w:pos="2880"/>
              </w:tabs>
            </w:pPr>
            <w:r>
              <w:t>j</w:t>
            </w:r>
            <w:r w:rsidR="00DA0E36">
              <w:t>winfield@oxford.gov.uk</w:t>
            </w:r>
          </w:p>
          <w:p w:rsidR="00E70123" w:rsidRPr="002E17B2" w:rsidRDefault="00E70123" w:rsidP="00627E3E">
            <w:pPr>
              <w:tabs>
                <w:tab w:val="left" w:pos="720"/>
                <w:tab w:val="left" w:pos="1440"/>
                <w:tab w:val="left" w:pos="2160"/>
                <w:tab w:val="left" w:pos="2880"/>
              </w:tabs>
            </w:pP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tc>
      </w:tr>
      <w:tr w:rsidR="00E70123" w:rsidRPr="002E17B2" w:rsidTr="009C0CDE">
        <w:tc>
          <w:tcPr>
            <w:tcW w:w="8522" w:type="dxa"/>
            <w:tcBorders>
              <w:bottom w:val="single" w:sz="4" w:space="0" w:color="auto"/>
            </w:tcBorders>
          </w:tcPr>
          <w:p w:rsidR="00E70123" w:rsidRPr="002E17B2" w:rsidRDefault="00E70123" w:rsidP="00B6726E">
            <w:pPr>
              <w:tabs>
                <w:tab w:val="left" w:pos="720"/>
                <w:tab w:val="left" w:pos="1440"/>
                <w:tab w:val="left" w:pos="2160"/>
                <w:tab w:val="left" w:pos="2880"/>
              </w:tabs>
              <w:rPr>
                <w:color w:val="0000FF"/>
                <w:u w:val="single"/>
              </w:rPr>
            </w:pPr>
          </w:p>
        </w:tc>
      </w:tr>
    </w:tbl>
    <w:p w:rsidR="00E70123" w:rsidRPr="002E17B2" w:rsidRDefault="00E70123" w:rsidP="005D3AAD">
      <w:pPr>
        <w:rPr>
          <w:rFonts w:cs="Arial"/>
          <w:b/>
          <w:bCs/>
        </w:rPr>
      </w:pPr>
    </w:p>
    <w:p w:rsidR="00DA0E36" w:rsidRDefault="00E70123" w:rsidP="005D3AAD">
      <w:pPr>
        <w:rPr>
          <w:rFonts w:cs="Arial"/>
          <w:b/>
          <w:bCs/>
        </w:rPr>
      </w:pPr>
      <w:r w:rsidRPr="002E17B2">
        <w:rPr>
          <w:rFonts w:cs="Arial"/>
          <w:b/>
          <w:bCs/>
        </w:rPr>
        <w:t>List of background papers:</w:t>
      </w:r>
    </w:p>
    <w:p w:rsidR="00DA0E36" w:rsidRDefault="00DA0E36" w:rsidP="005D3AAD">
      <w:pPr>
        <w:rPr>
          <w:rFonts w:cs="Arial"/>
          <w:b/>
          <w:bCs/>
        </w:rPr>
      </w:pPr>
    </w:p>
    <w:p w:rsidR="00DA0E36" w:rsidRPr="00DA0E36" w:rsidRDefault="006C6DD5" w:rsidP="005D3AAD">
      <w:pPr>
        <w:rPr>
          <w:rFonts w:cs="Arial"/>
          <w:bCs/>
        </w:rPr>
      </w:pPr>
      <w:r>
        <w:rPr>
          <w:rFonts w:cs="Arial"/>
          <w:bCs/>
        </w:rPr>
        <w:t xml:space="preserve">West Area </w:t>
      </w:r>
      <w:r w:rsidR="00DA0E36" w:rsidRPr="00DA0E36">
        <w:rPr>
          <w:rFonts w:cs="Arial"/>
          <w:bCs/>
        </w:rPr>
        <w:t>Planning Committee Report and Minute 11 March 2014</w:t>
      </w:r>
    </w:p>
    <w:p w:rsidR="00DA0E36" w:rsidRPr="00DA0E36" w:rsidRDefault="00DA0E36" w:rsidP="005D3AAD">
      <w:pPr>
        <w:rPr>
          <w:rFonts w:cs="Arial"/>
          <w:bCs/>
        </w:rPr>
      </w:pPr>
      <w:r w:rsidRPr="00DA0E36">
        <w:rPr>
          <w:rFonts w:cs="Arial"/>
          <w:bCs/>
        </w:rPr>
        <w:t>Planning Permission dated 16 October 2014</w:t>
      </w:r>
    </w:p>
    <w:p w:rsidR="00E70123" w:rsidRPr="002E17B2" w:rsidRDefault="00DA0E36" w:rsidP="005D3AAD">
      <w:pPr>
        <w:rPr>
          <w:rFonts w:cs="Arial"/>
          <w:b/>
          <w:bCs/>
        </w:rPr>
      </w:pPr>
      <w:r w:rsidRPr="00DA0E36">
        <w:rPr>
          <w:rFonts w:cs="Arial"/>
          <w:bCs/>
        </w:rPr>
        <w:t xml:space="preserve">Documents relating to 1968 appropriation </w:t>
      </w:r>
      <w:r w:rsidR="00E70123" w:rsidRPr="002E17B2">
        <w:rPr>
          <w:rFonts w:cs="Arial"/>
          <w:b/>
          <w:bCs/>
        </w:rPr>
        <w:t xml:space="preserve"> </w:t>
      </w:r>
    </w:p>
    <w:p w:rsidR="00E70123" w:rsidRPr="002E17B2" w:rsidRDefault="00E70123" w:rsidP="005D3AAD">
      <w:pPr>
        <w:rPr>
          <w:b/>
          <w:bCs/>
        </w:rPr>
      </w:pPr>
    </w:p>
    <w:p w:rsidR="00152B64" w:rsidRDefault="006C6DD5" w:rsidP="008A22C6">
      <w:pPr>
        <w:rPr>
          <w:b/>
          <w:bCs/>
        </w:rPr>
      </w:pPr>
      <w:r>
        <w:rPr>
          <w:b/>
          <w:bCs/>
        </w:rPr>
        <w:t>Version number:</w:t>
      </w:r>
      <w:r w:rsidR="00CB6D1C">
        <w:rPr>
          <w:b/>
          <w:bCs/>
        </w:rPr>
        <w:t xml:space="preserve"> 1.0</w:t>
      </w: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CB6D1C">
      <w:pPr>
        <w:jc w:val="center"/>
        <w:rPr>
          <w:b/>
          <w:bCs/>
        </w:rPr>
      </w:pPr>
      <w:bookmarkStart w:id="0" w:name="_GoBack"/>
      <w:bookmarkEnd w:id="0"/>
    </w:p>
    <w:p w:rsidR="00CB6D1C" w:rsidRDefault="00CB6D1C" w:rsidP="00CB6D1C">
      <w:pPr>
        <w:jc w:val="center"/>
        <w:rPr>
          <w:b/>
          <w:bCs/>
        </w:rPr>
      </w:pPr>
    </w:p>
    <w:p w:rsidR="00CB6D1C" w:rsidRDefault="00CB6D1C" w:rsidP="00CB6D1C">
      <w:pPr>
        <w:jc w:val="center"/>
        <w:rPr>
          <w:b/>
          <w:bCs/>
        </w:rPr>
      </w:pPr>
    </w:p>
    <w:sectPr w:rsidR="00CB6D1C" w:rsidSect="00DB23A0">
      <w:footerReference w:type="default" r:id="rId9"/>
      <w:footerReference w:type="first" r:id="rId10"/>
      <w:pgSz w:w="11906" w:h="16838"/>
      <w:pgMar w:top="1440" w:right="1800" w:bottom="1440" w:left="1800" w:header="708" w:footer="62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27" w:rsidRDefault="000A4C27" w:rsidP="0081685B">
      <w:r>
        <w:separator/>
      </w:r>
    </w:p>
  </w:endnote>
  <w:endnote w:type="continuationSeparator" w:id="0">
    <w:p w:rsidR="000A4C27" w:rsidRDefault="000A4C27" w:rsidP="008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1D9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Footer"/>
      <w:jc w:val="center"/>
    </w:pPr>
    <w:r>
      <w:fldChar w:fldCharType="begin"/>
    </w:r>
    <w:r>
      <w:instrText xml:space="preserve"> PAGE   \* MERGEFORMAT </w:instrText>
    </w:r>
    <w:r>
      <w:fldChar w:fldCharType="separate"/>
    </w:r>
    <w:r w:rsidR="00527BB9">
      <w:rPr>
        <w:noProof/>
      </w:rPr>
      <w:t>9</w:t>
    </w:r>
    <w:r>
      <w:rPr>
        <w:noProof/>
      </w:rPr>
      <w:fldChar w:fldCharType="end"/>
    </w:r>
  </w:p>
  <w:p w:rsidR="00E43427" w:rsidRDefault="00E4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Footer"/>
      <w:jc w:val="center"/>
    </w:pPr>
    <w:r>
      <w:fldChar w:fldCharType="begin"/>
    </w:r>
    <w:r>
      <w:instrText xml:space="preserve"> PAGE   \* MERGEFORMAT </w:instrText>
    </w:r>
    <w:r>
      <w:fldChar w:fldCharType="separate"/>
    </w:r>
    <w:r>
      <w:rPr>
        <w:noProof/>
      </w:rPr>
      <w:t>1</w:t>
    </w:r>
    <w:r>
      <w:rPr>
        <w:noProof/>
      </w:rPr>
      <w:fldChar w:fldCharType="end"/>
    </w:r>
  </w:p>
  <w:p w:rsidR="00E43427" w:rsidRDefault="00E4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27" w:rsidRDefault="000A4C27" w:rsidP="0081685B">
      <w:r>
        <w:separator/>
      </w:r>
    </w:p>
  </w:footnote>
  <w:footnote w:type="continuationSeparator" w:id="0">
    <w:p w:rsidR="000A4C27" w:rsidRDefault="000A4C27" w:rsidP="0081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BA9"/>
    <w:multiLevelType w:val="hybridMultilevel"/>
    <w:tmpl w:val="C95E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69DF"/>
    <w:multiLevelType w:val="hybridMultilevel"/>
    <w:tmpl w:val="1182F376"/>
    <w:lvl w:ilvl="0" w:tplc="D946CC6E">
      <w:start w:val="1"/>
      <w:numFmt w:val="decimal"/>
      <w:lvlText w:val="%1."/>
      <w:lvlJc w:val="left"/>
      <w:pPr>
        <w:tabs>
          <w:tab w:val="num" w:pos="680"/>
        </w:tabs>
        <w:ind w:left="680" w:hanging="68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0FE6D33"/>
    <w:multiLevelType w:val="hybridMultilevel"/>
    <w:tmpl w:val="37728FBE"/>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AB6469E"/>
    <w:multiLevelType w:val="hybridMultilevel"/>
    <w:tmpl w:val="5A00365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D55C75"/>
    <w:multiLevelType w:val="hybridMultilevel"/>
    <w:tmpl w:val="ABDA71BA"/>
    <w:lvl w:ilvl="0" w:tplc="DED08A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5CB5B38"/>
    <w:multiLevelType w:val="hybridMultilevel"/>
    <w:tmpl w:val="9C04D0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0AD6B80"/>
    <w:multiLevelType w:val="hybridMultilevel"/>
    <w:tmpl w:val="DBD61B8C"/>
    <w:lvl w:ilvl="0" w:tplc="797296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B00DC6"/>
    <w:multiLevelType w:val="hybridMultilevel"/>
    <w:tmpl w:val="6B0A015E"/>
    <w:lvl w:ilvl="0" w:tplc="77A2DF26">
      <w:start w:val="11"/>
      <w:numFmt w:val="decimal"/>
      <w:lvlText w:val="%1."/>
      <w:lvlJc w:val="left"/>
      <w:pPr>
        <w:tabs>
          <w:tab w:val="num" w:pos="680"/>
        </w:tabs>
        <w:ind w:left="680" w:hanging="680"/>
      </w:pPr>
      <w:rPr>
        <w:rFonts w:ascii="Arial" w:hAnsi="Arial" w:cs="Times New Roman" w:hint="default"/>
        <w:sz w:val="24"/>
        <w:szCs w:val="24"/>
      </w:rPr>
    </w:lvl>
    <w:lvl w:ilvl="1" w:tplc="5EE4B44E">
      <w:start w:val="16"/>
      <w:numFmt w:val="decimal"/>
      <w:lvlText w:val="%2."/>
      <w:lvlJc w:val="left"/>
      <w:pPr>
        <w:tabs>
          <w:tab w:val="num" w:pos="680"/>
        </w:tabs>
        <w:ind w:left="680" w:hanging="680"/>
      </w:pPr>
      <w:rPr>
        <w:rFonts w:cs="Times New Roman" w:hint="default"/>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24F0AF1"/>
    <w:multiLevelType w:val="hybridMultilevel"/>
    <w:tmpl w:val="3C561B94"/>
    <w:lvl w:ilvl="0" w:tplc="DADA5CD4">
      <w:start w:val="12"/>
      <w:numFmt w:val="lowerRoman"/>
      <w:lvlText w:val="%1."/>
      <w:lvlJc w:val="left"/>
      <w:pPr>
        <w:tabs>
          <w:tab w:val="num" w:pos="1440"/>
        </w:tabs>
        <w:ind w:left="1440" w:hanging="720"/>
      </w:pPr>
      <w:rPr>
        <w:rFonts w:cs="Times New Roman" w:hint="default"/>
      </w:rPr>
    </w:lvl>
    <w:lvl w:ilvl="1" w:tplc="092C395E">
      <w:start w:val="6"/>
      <w:numFmt w:val="lowerRoman"/>
      <w:lvlText w:val="%2)"/>
      <w:lvlJc w:val="left"/>
      <w:pPr>
        <w:tabs>
          <w:tab w:val="num" w:pos="2160"/>
        </w:tabs>
        <w:ind w:left="2160" w:hanging="720"/>
      </w:pPr>
      <w:rPr>
        <w:rFonts w:cs="Times New Roman" w:hint="default"/>
      </w:rPr>
    </w:lvl>
    <w:lvl w:ilvl="2" w:tplc="DB9225A2">
      <w:start w:val="35"/>
      <w:numFmt w:val="decimal"/>
      <w:lvlText w:val="%3."/>
      <w:lvlJc w:val="left"/>
      <w:pPr>
        <w:tabs>
          <w:tab w:val="num" w:pos="680"/>
        </w:tabs>
        <w:ind w:left="680" w:hanging="680"/>
      </w:pPr>
      <w:rPr>
        <w:rFonts w:cs="Times New Roman"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7A9A2693"/>
    <w:multiLevelType w:val="hybridMultilevel"/>
    <w:tmpl w:val="ABDA71BA"/>
    <w:lvl w:ilvl="0" w:tplc="DED08A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E623735"/>
    <w:multiLevelType w:val="hybridMultilevel"/>
    <w:tmpl w:val="6E2AA870"/>
    <w:lvl w:ilvl="0" w:tplc="4CA48CA6">
      <w:start w:val="7"/>
      <w:numFmt w:val="decimal"/>
      <w:lvlText w:val="%1."/>
      <w:lvlJc w:val="left"/>
      <w:pPr>
        <w:tabs>
          <w:tab w:val="num" w:pos="680"/>
        </w:tabs>
        <w:ind w:left="680" w:hanging="6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8"/>
  </w:num>
  <w:num w:numId="4">
    <w:abstractNumId w:val="7"/>
  </w:num>
  <w:num w:numId="5">
    <w:abstractNumId w:val="1"/>
  </w:num>
  <w:num w:numId="6">
    <w:abstractNumId w:val="10"/>
  </w:num>
  <w:num w:numId="7">
    <w:abstractNumId w:val="5"/>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AD"/>
    <w:rsid w:val="000029BD"/>
    <w:rsid w:val="000064A1"/>
    <w:rsid w:val="00013A49"/>
    <w:rsid w:val="000263F6"/>
    <w:rsid w:val="000331B2"/>
    <w:rsid w:val="00076AF9"/>
    <w:rsid w:val="0008090A"/>
    <w:rsid w:val="00083579"/>
    <w:rsid w:val="0008498D"/>
    <w:rsid w:val="000A0666"/>
    <w:rsid w:val="000A4C27"/>
    <w:rsid w:val="000B4310"/>
    <w:rsid w:val="000B7D52"/>
    <w:rsid w:val="000C7F2B"/>
    <w:rsid w:val="000D42A3"/>
    <w:rsid w:val="000E4574"/>
    <w:rsid w:val="000F5DE7"/>
    <w:rsid w:val="000F6291"/>
    <w:rsid w:val="001425EA"/>
    <w:rsid w:val="00152B64"/>
    <w:rsid w:val="0016628B"/>
    <w:rsid w:val="00173ED0"/>
    <w:rsid w:val="00173F9A"/>
    <w:rsid w:val="001B1F2C"/>
    <w:rsid w:val="001B5ECD"/>
    <w:rsid w:val="001C40AB"/>
    <w:rsid w:val="001C65DF"/>
    <w:rsid w:val="001F3668"/>
    <w:rsid w:val="00216A56"/>
    <w:rsid w:val="00257338"/>
    <w:rsid w:val="00260473"/>
    <w:rsid w:val="00292967"/>
    <w:rsid w:val="00293003"/>
    <w:rsid w:val="002B108B"/>
    <w:rsid w:val="002B5900"/>
    <w:rsid w:val="002E17B2"/>
    <w:rsid w:val="002E2E89"/>
    <w:rsid w:val="002F79AE"/>
    <w:rsid w:val="00311B52"/>
    <w:rsid w:val="00332CE1"/>
    <w:rsid w:val="00341DFD"/>
    <w:rsid w:val="00357842"/>
    <w:rsid w:val="003656C1"/>
    <w:rsid w:val="003A2A33"/>
    <w:rsid w:val="003A44E3"/>
    <w:rsid w:val="003A5697"/>
    <w:rsid w:val="003B3F60"/>
    <w:rsid w:val="003C1572"/>
    <w:rsid w:val="003D3D85"/>
    <w:rsid w:val="003F5D43"/>
    <w:rsid w:val="004000D7"/>
    <w:rsid w:val="00401D6F"/>
    <w:rsid w:val="00416398"/>
    <w:rsid w:val="00417CCE"/>
    <w:rsid w:val="00425A4D"/>
    <w:rsid w:val="004533BA"/>
    <w:rsid w:val="004635F3"/>
    <w:rsid w:val="00464D87"/>
    <w:rsid w:val="00465C2A"/>
    <w:rsid w:val="00476508"/>
    <w:rsid w:val="00491F0C"/>
    <w:rsid w:val="00492F36"/>
    <w:rsid w:val="00497D91"/>
    <w:rsid w:val="004A7564"/>
    <w:rsid w:val="004C16E3"/>
    <w:rsid w:val="004C256C"/>
    <w:rsid w:val="004C2931"/>
    <w:rsid w:val="004D1181"/>
    <w:rsid w:val="004E300E"/>
    <w:rsid w:val="004F7E48"/>
    <w:rsid w:val="00503985"/>
    <w:rsid w:val="00504E43"/>
    <w:rsid w:val="00505788"/>
    <w:rsid w:val="00521043"/>
    <w:rsid w:val="005255E2"/>
    <w:rsid w:val="00527BB9"/>
    <w:rsid w:val="0057104A"/>
    <w:rsid w:val="00576A22"/>
    <w:rsid w:val="0058774D"/>
    <w:rsid w:val="005B254A"/>
    <w:rsid w:val="005C2EDF"/>
    <w:rsid w:val="005D3AAD"/>
    <w:rsid w:val="005D4717"/>
    <w:rsid w:val="0060360B"/>
    <w:rsid w:val="00604F29"/>
    <w:rsid w:val="00605D3C"/>
    <w:rsid w:val="0062464A"/>
    <w:rsid w:val="00627E3E"/>
    <w:rsid w:val="00637272"/>
    <w:rsid w:val="0065173A"/>
    <w:rsid w:val="0066642E"/>
    <w:rsid w:val="006860F5"/>
    <w:rsid w:val="006917A6"/>
    <w:rsid w:val="006B151B"/>
    <w:rsid w:val="006C6DD5"/>
    <w:rsid w:val="00706233"/>
    <w:rsid w:val="00706996"/>
    <w:rsid w:val="007308D7"/>
    <w:rsid w:val="007561D9"/>
    <w:rsid w:val="007908F4"/>
    <w:rsid w:val="007C451F"/>
    <w:rsid w:val="007D6DA9"/>
    <w:rsid w:val="007D709C"/>
    <w:rsid w:val="007E700F"/>
    <w:rsid w:val="007F27AB"/>
    <w:rsid w:val="0081685B"/>
    <w:rsid w:val="008240E8"/>
    <w:rsid w:val="008257A8"/>
    <w:rsid w:val="00835A5E"/>
    <w:rsid w:val="008463B9"/>
    <w:rsid w:val="00857F00"/>
    <w:rsid w:val="00882D74"/>
    <w:rsid w:val="00883F84"/>
    <w:rsid w:val="00884C86"/>
    <w:rsid w:val="008857F5"/>
    <w:rsid w:val="008A22C6"/>
    <w:rsid w:val="008B73CA"/>
    <w:rsid w:val="008C1C5C"/>
    <w:rsid w:val="008E0C7C"/>
    <w:rsid w:val="008F3829"/>
    <w:rsid w:val="00924B3E"/>
    <w:rsid w:val="0092621D"/>
    <w:rsid w:val="00927BC3"/>
    <w:rsid w:val="00941624"/>
    <w:rsid w:val="0098069E"/>
    <w:rsid w:val="00986AEC"/>
    <w:rsid w:val="00990AD6"/>
    <w:rsid w:val="00995E1B"/>
    <w:rsid w:val="009B2DDF"/>
    <w:rsid w:val="009C0CDE"/>
    <w:rsid w:val="009C79F0"/>
    <w:rsid w:val="009E1F03"/>
    <w:rsid w:val="009E269D"/>
    <w:rsid w:val="009E563B"/>
    <w:rsid w:val="00A03C52"/>
    <w:rsid w:val="00A07EA5"/>
    <w:rsid w:val="00A10176"/>
    <w:rsid w:val="00A36E66"/>
    <w:rsid w:val="00A656B4"/>
    <w:rsid w:val="00A74B65"/>
    <w:rsid w:val="00A93E17"/>
    <w:rsid w:val="00A9446D"/>
    <w:rsid w:val="00A96007"/>
    <w:rsid w:val="00AB0F71"/>
    <w:rsid w:val="00AC397F"/>
    <w:rsid w:val="00AC44E3"/>
    <w:rsid w:val="00AC51A9"/>
    <w:rsid w:val="00B012F9"/>
    <w:rsid w:val="00B05461"/>
    <w:rsid w:val="00B0582B"/>
    <w:rsid w:val="00B27BE6"/>
    <w:rsid w:val="00B43943"/>
    <w:rsid w:val="00B50D14"/>
    <w:rsid w:val="00B608A5"/>
    <w:rsid w:val="00B6726E"/>
    <w:rsid w:val="00B8416B"/>
    <w:rsid w:val="00B973BF"/>
    <w:rsid w:val="00BC132F"/>
    <w:rsid w:val="00BE612B"/>
    <w:rsid w:val="00C02967"/>
    <w:rsid w:val="00C07F80"/>
    <w:rsid w:val="00C162E5"/>
    <w:rsid w:val="00C25E86"/>
    <w:rsid w:val="00C51A50"/>
    <w:rsid w:val="00C6662A"/>
    <w:rsid w:val="00C82672"/>
    <w:rsid w:val="00C84C10"/>
    <w:rsid w:val="00C864B4"/>
    <w:rsid w:val="00C935C5"/>
    <w:rsid w:val="00CA1277"/>
    <w:rsid w:val="00CB6D1C"/>
    <w:rsid w:val="00CD492A"/>
    <w:rsid w:val="00CE11F1"/>
    <w:rsid w:val="00CF033B"/>
    <w:rsid w:val="00D073DA"/>
    <w:rsid w:val="00D07921"/>
    <w:rsid w:val="00D164C9"/>
    <w:rsid w:val="00D21448"/>
    <w:rsid w:val="00D26139"/>
    <w:rsid w:val="00D309AD"/>
    <w:rsid w:val="00D35334"/>
    <w:rsid w:val="00D75AB2"/>
    <w:rsid w:val="00D7754A"/>
    <w:rsid w:val="00D804E1"/>
    <w:rsid w:val="00D8661B"/>
    <w:rsid w:val="00D876F8"/>
    <w:rsid w:val="00D947CB"/>
    <w:rsid w:val="00DA0E36"/>
    <w:rsid w:val="00DB23A0"/>
    <w:rsid w:val="00DB2437"/>
    <w:rsid w:val="00DB2747"/>
    <w:rsid w:val="00DB65BE"/>
    <w:rsid w:val="00DC69B9"/>
    <w:rsid w:val="00DD1FF8"/>
    <w:rsid w:val="00DE5769"/>
    <w:rsid w:val="00E03633"/>
    <w:rsid w:val="00E06BFA"/>
    <w:rsid w:val="00E104D5"/>
    <w:rsid w:val="00E1265A"/>
    <w:rsid w:val="00E14F72"/>
    <w:rsid w:val="00E15697"/>
    <w:rsid w:val="00E2392A"/>
    <w:rsid w:val="00E23AEB"/>
    <w:rsid w:val="00E43427"/>
    <w:rsid w:val="00E4441C"/>
    <w:rsid w:val="00E65039"/>
    <w:rsid w:val="00E70123"/>
    <w:rsid w:val="00E76210"/>
    <w:rsid w:val="00E87401"/>
    <w:rsid w:val="00EA0BE9"/>
    <w:rsid w:val="00EB0D62"/>
    <w:rsid w:val="00EB7A8F"/>
    <w:rsid w:val="00EC33AB"/>
    <w:rsid w:val="00F04A49"/>
    <w:rsid w:val="00F15585"/>
    <w:rsid w:val="00F25119"/>
    <w:rsid w:val="00F25F31"/>
    <w:rsid w:val="00F41E87"/>
    <w:rsid w:val="00F440BE"/>
    <w:rsid w:val="00F63F02"/>
    <w:rsid w:val="00F719C6"/>
    <w:rsid w:val="00F7430A"/>
    <w:rsid w:val="00F754EB"/>
    <w:rsid w:val="00FA427D"/>
    <w:rsid w:val="00FA64AA"/>
    <w:rsid w:val="00FB310F"/>
    <w:rsid w:val="00FB6107"/>
    <w:rsid w:val="00FC0256"/>
    <w:rsid w:val="00FD3A85"/>
    <w:rsid w:val="00FE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D"/>
    <w:rPr>
      <w:rFonts w:eastAsia="Times New Roman" w:cs="Times New Roman"/>
      <w:sz w:val="24"/>
      <w:szCs w:val="24"/>
      <w:lang w:eastAsia="en-US"/>
    </w:rPr>
  </w:style>
  <w:style w:type="paragraph" w:styleId="Heading1">
    <w:name w:val="heading 1"/>
    <w:basedOn w:val="Normal"/>
    <w:next w:val="Normal"/>
    <w:link w:val="Heading1Char"/>
    <w:uiPriority w:val="99"/>
    <w:qFormat/>
    <w:rsid w:val="005D3AA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AD"/>
    <w:rPr>
      <w:rFonts w:eastAsia="Times New Roman" w:cs="Times New Roman"/>
      <w:b/>
      <w:bCs/>
    </w:rPr>
  </w:style>
  <w:style w:type="paragraph" w:styleId="BodyTextIndent">
    <w:name w:val="Body Text Indent"/>
    <w:basedOn w:val="Normal"/>
    <w:link w:val="BodyTextIndentChar"/>
    <w:uiPriority w:val="99"/>
    <w:rsid w:val="005D3AAD"/>
    <w:pPr>
      <w:ind w:left="540" w:hanging="540"/>
    </w:pPr>
  </w:style>
  <w:style w:type="character" w:customStyle="1" w:styleId="BodyTextIndentChar">
    <w:name w:val="Body Text Indent Char"/>
    <w:basedOn w:val="DefaultParagraphFont"/>
    <w:link w:val="BodyTextIndent"/>
    <w:uiPriority w:val="99"/>
    <w:locked/>
    <w:rsid w:val="005D3AAD"/>
    <w:rPr>
      <w:rFonts w:eastAsia="Times New Roman" w:cs="Times New Roman"/>
    </w:rPr>
  </w:style>
  <w:style w:type="paragraph" w:styleId="ListParagraph">
    <w:name w:val="List Paragraph"/>
    <w:basedOn w:val="Normal"/>
    <w:uiPriority w:val="99"/>
    <w:qFormat/>
    <w:rsid w:val="00E1265A"/>
    <w:pPr>
      <w:ind w:left="720"/>
      <w:contextualSpacing/>
    </w:pPr>
  </w:style>
  <w:style w:type="paragraph" w:styleId="Header">
    <w:name w:val="header"/>
    <w:basedOn w:val="Normal"/>
    <w:link w:val="HeaderChar"/>
    <w:uiPriority w:val="99"/>
    <w:rsid w:val="0081685B"/>
    <w:pPr>
      <w:tabs>
        <w:tab w:val="center" w:pos="4513"/>
        <w:tab w:val="right" w:pos="9026"/>
      </w:tabs>
    </w:pPr>
  </w:style>
  <w:style w:type="character" w:customStyle="1" w:styleId="HeaderChar">
    <w:name w:val="Header Char"/>
    <w:basedOn w:val="DefaultParagraphFont"/>
    <w:link w:val="Header"/>
    <w:uiPriority w:val="99"/>
    <w:locked/>
    <w:rsid w:val="0081685B"/>
    <w:rPr>
      <w:rFonts w:eastAsia="Times New Roman" w:cs="Times New Roman"/>
    </w:rPr>
  </w:style>
  <w:style w:type="paragraph" w:styleId="Footer">
    <w:name w:val="footer"/>
    <w:basedOn w:val="Normal"/>
    <w:link w:val="FooterChar"/>
    <w:uiPriority w:val="99"/>
    <w:rsid w:val="0081685B"/>
    <w:pPr>
      <w:tabs>
        <w:tab w:val="center" w:pos="4513"/>
        <w:tab w:val="right" w:pos="9026"/>
      </w:tabs>
    </w:pPr>
  </w:style>
  <w:style w:type="character" w:customStyle="1" w:styleId="FooterChar">
    <w:name w:val="Footer Char"/>
    <w:basedOn w:val="DefaultParagraphFont"/>
    <w:link w:val="Footer"/>
    <w:uiPriority w:val="99"/>
    <w:locked/>
    <w:rsid w:val="0081685B"/>
    <w:rPr>
      <w:rFonts w:eastAsia="Times New Roman" w:cs="Times New Roman"/>
    </w:rPr>
  </w:style>
  <w:style w:type="paragraph" w:styleId="BalloonText">
    <w:name w:val="Balloon Text"/>
    <w:basedOn w:val="Normal"/>
    <w:link w:val="BalloonTextChar"/>
    <w:uiPriority w:val="99"/>
    <w:semiHidden/>
    <w:rsid w:val="002E1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B2"/>
    <w:rPr>
      <w:rFonts w:ascii="Tahoma" w:hAnsi="Tahoma" w:cs="Tahoma"/>
      <w:sz w:val="16"/>
      <w:szCs w:val="16"/>
    </w:rPr>
  </w:style>
  <w:style w:type="character" w:styleId="Hyperlink">
    <w:name w:val="Hyperlink"/>
    <w:basedOn w:val="DefaultParagraphFont"/>
    <w:uiPriority w:val="99"/>
    <w:unhideWhenUsed/>
    <w:rsid w:val="00B6726E"/>
    <w:rPr>
      <w:color w:val="0000FF" w:themeColor="hyperlink"/>
      <w:u w:val="single"/>
    </w:rPr>
  </w:style>
  <w:style w:type="paragraph" w:styleId="FootnoteText">
    <w:name w:val="footnote text"/>
    <w:basedOn w:val="Normal"/>
    <w:link w:val="FootnoteTextChar"/>
    <w:uiPriority w:val="99"/>
    <w:semiHidden/>
    <w:unhideWhenUsed/>
    <w:rsid w:val="00332CE1"/>
    <w:rPr>
      <w:sz w:val="20"/>
      <w:szCs w:val="20"/>
    </w:rPr>
  </w:style>
  <w:style w:type="character" w:customStyle="1" w:styleId="FootnoteTextChar">
    <w:name w:val="Footnote Text Char"/>
    <w:basedOn w:val="DefaultParagraphFont"/>
    <w:link w:val="FootnoteText"/>
    <w:uiPriority w:val="99"/>
    <w:semiHidden/>
    <w:rsid w:val="00332CE1"/>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32CE1"/>
    <w:rPr>
      <w:vertAlign w:val="superscript"/>
    </w:rPr>
  </w:style>
  <w:style w:type="table" w:styleId="TableGrid">
    <w:name w:val="Table Grid"/>
    <w:basedOn w:val="TableNormal"/>
    <w:locked/>
    <w:rsid w:val="009E5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D"/>
    <w:rPr>
      <w:rFonts w:eastAsia="Times New Roman" w:cs="Times New Roman"/>
      <w:sz w:val="24"/>
      <w:szCs w:val="24"/>
      <w:lang w:eastAsia="en-US"/>
    </w:rPr>
  </w:style>
  <w:style w:type="paragraph" w:styleId="Heading1">
    <w:name w:val="heading 1"/>
    <w:basedOn w:val="Normal"/>
    <w:next w:val="Normal"/>
    <w:link w:val="Heading1Char"/>
    <w:uiPriority w:val="99"/>
    <w:qFormat/>
    <w:rsid w:val="005D3AA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AD"/>
    <w:rPr>
      <w:rFonts w:eastAsia="Times New Roman" w:cs="Times New Roman"/>
      <w:b/>
      <w:bCs/>
    </w:rPr>
  </w:style>
  <w:style w:type="paragraph" w:styleId="BodyTextIndent">
    <w:name w:val="Body Text Indent"/>
    <w:basedOn w:val="Normal"/>
    <w:link w:val="BodyTextIndentChar"/>
    <w:uiPriority w:val="99"/>
    <w:rsid w:val="005D3AAD"/>
    <w:pPr>
      <w:ind w:left="540" w:hanging="540"/>
    </w:pPr>
  </w:style>
  <w:style w:type="character" w:customStyle="1" w:styleId="BodyTextIndentChar">
    <w:name w:val="Body Text Indent Char"/>
    <w:basedOn w:val="DefaultParagraphFont"/>
    <w:link w:val="BodyTextIndent"/>
    <w:uiPriority w:val="99"/>
    <w:locked/>
    <w:rsid w:val="005D3AAD"/>
    <w:rPr>
      <w:rFonts w:eastAsia="Times New Roman" w:cs="Times New Roman"/>
    </w:rPr>
  </w:style>
  <w:style w:type="paragraph" w:styleId="ListParagraph">
    <w:name w:val="List Paragraph"/>
    <w:basedOn w:val="Normal"/>
    <w:uiPriority w:val="99"/>
    <w:qFormat/>
    <w:rsid w:val="00E1265A"/>
    <w:pPr>
      <w:ind w:left="720"/>
      <w:contextualSpacing/>
    </w:pPr>
  </w:style>
  <w:style w:type="paragraph" w:styleId="Header">
    <w:name w:val="header"/>
    <w:basedOn w:val="Normal"/>
    <w:link w:val="HeaderChar"/>
    <w:uiPriority w:val="99"/>
    <w:rsid w:val="0081685B"/>
    <w:pPr>
      <w:tabs>
        <w:tab w:val="center" w:pos="4513"/>
        <w:tab w:val="right" w:pos="9026"/>
      </w:tabs>
    </w:pPr>
  </w:style>
  <w:style w:type="character" w:customStyle="1" w:styleId="HeaderChar">
    <w:name w:val="Header Char"/>
    <w:basedOn w:val="DefaultParagraphFont"/>
    <w:link w:val="Header"/>
    <w:uiPriority w:val="99"/>
    <w:locked/>
    <w:rsid w:val="0081685B"/>
    <w:rPr>
      <w:rFonts w:eastAsia="Times New Roman" w:cs="Times New Roman"/>
    </w:rPr>
  </w:style>
  <w:style w:type="paragraph" w:styleId="Footer">
    <w:name w:val="footer"/>
    <w:basedOn w:val="Normal"/>
    <w:link w:val="FooterChar"/>
    <w:uiPriority w:val="99"/>
    <w:rsid w:val="0081685B"/>
    <w:pPr>
      <w:tabs>
        <w:tab w:val="center" w:pos="4513"/>
        <w:tab w:val="right" w:pos="9026"/>
      </w:tabs>
    </w:pPr>
  </w:style>
  <w:style w:type="character" w:customStyle="1" w:styleId="FooterChar">
    <w:name w:val="Footer Char"/>
    <w:basedOn w:val="DefaultParagraphFont"/>
    <w:link w:val="Footer"/>
    <w:uiPriority w:val="99"/>
    <w:locked/>
    <w:rsid w:val="0081685B"/>
    <w:rPr>
      <w:rFonts w:eastAsia="Times New Roman" w:cs="Times New Roman"/>
    </w:rPr>
  </w:style>
  <w:style w:type="paragraph" w:styleId="BalloonText">
    <w:name w:val="Balloon Text"/>
    <w:basedOn w:val="Normal"/>
    <w:link w:val="BalloonTextChar"/>
    <w:uiPriority w:val="99"/>
    <w:semiHidden/>
    <w:rsid w:val="002E1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B2"/>
    <w:rPr>
      <w:rFonts w:ascii="Tahoma" w:hAnsi="Tahoma" w:cs="Tahoma"/>
      <w:sz w:val="16"/>
      <w:szCs w:val="16"/>
    </w:rPr>
  </w:style>
  <w:style w:type="character" w:styleId="Hyperlink">
    <w:name w:val="Hyperlink"/>
    <w:basedOn w:val="DefaultParagraphFont"/>
    <w:uiPriority w:val="99"/>
    <w:unhideWhenUsed/>
    <w:rsid w:val="00B6726E"/>
    <w:rPr>
      <w:color w:val="0000FF" w:themeColor="hyperlink"/>
      <w:u w:val="single"/>
    </w:rPr>
  </w:style>
  <w:style w:type="paragraph" w:styleId="FootnoteText">
    <w:name w:val="footnote text"/>
    <w:basedOn w:val="Normal"/>
    <w:link w:val="FootnoteTextChar"/>
    <w:uiPriority w:val="99"/>
    <w:semiHidden/>
    <w:unhideWhenUsed/>
    <w:rsid w:val="00332CE1"/>
    <w:rPr>
      <w:sz w:val="20"/>
      <w:szCs w:val="20"/>
    </w:rPr>
  </w:style>
  <w:style w:type="character" w:customStyle="1" w:styleId="FootnoteTextChar">
    <w:name w:val="Footnote Text Char"/>
    <w:basedOn w:val="DefaultParagraphFont"/>
    <w:link w:val="FootnoteText"/>
    <w:uiPriority w:val="99"/>
    <w:semiHidden/>
    <w:rsid w:val="00332CE1"/>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32CE1"/>
    <w:rPr>
      <w:vertAlign w:val="superscript"/>
    </w:rPr>
  </w:style>
  <w:style w:type="table" w:styleId="TableGrid">
    <w:name w:val="Table Grid"/>
    <w:basedOn w:val="TableNormal"/>
    <w:locked/>
    <w:rsid w:val="009E5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0720">
      <w:marLeft w:val="0"/>
      <w:marRight w:val="0"/>
      <w:marTop w:val="0"/>
      <w:marBottom w:val="0"/>
      <w:divBdr>
        <w:top w:val="none" w:sz="0" w:space="0" w:color="auto"/>
        <w:left w:val="none" w:sz="0" w:space="0" w:color="auto"/>
        <w:bottom w:val="none" w:sz="0" w:space="0" w:color="auto"/>
        <w:right w:val="none" w:sz="0" w:space="0" w:color="auto"/>
      </w:divBdr>
    </w:div>
    <w:div w:id="1813280721">
      <w:marLeft w:val="0"/>
      <w:marRight w:val="0"/>
      <w:marTop w:val="0"/>
      <w:marBottom w:val="0"/>
      <w:divBdr>
        <w:top w:val="none" w:sz="0" w:space="0" w:color="auto"/>
        <w:left w:val="none" w:sz="0" w:space="0" w:color="auto"/>
        <w:bottom w:val="none" w:sz="0" w:space="0" w:color="auto"/>
        <w:right w:val="none" w:sz="0" w:space="0" w:color="auto"/>
      </w:divBdr>
    </w:div>
    <w:div w:id="181328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5178-BB21-4518-B744-C5A068E4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8299C707</Template>
  <TotalTime>0</TotalTime>
  <Pages>10</Pages>
  <Words>3698</Words>
  <Characters>19057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2014-12-10T16:07:00Z</dcterms:created>
  <dcterms:modified xsi:type="dcterms:W3CDTF">2014-12-11T08:56:00Z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oFAAspTNh41gn7CVsRjMqylzJPJZGv5JmNfAaDArRYA+r3BJNP+mzQnv04CaYNIr2Qv/0KBFa3dz+Csc
/HqD2N24+r78n5hnA8bTRpCUxD9Wsaz3imfUvEaQQLsXQs9XmAvlcyJqkjcRgRorGMdpab6w/79n
T1fyDIp8ayZM0SOn7JprINpmGLvzP5eW2hWvhf7LuojmTnp97VKE0bcKRItpZnVSFOoSYuGjWl3B
NJpQyaT0JGRxMKCLE</vt:lpwstr>
  </property>
  <property fmtid="{D5CDD505-2E9C-101B-9397-08002B2CF9AE}" pid="3" name="MAIL_MSG_ID2">
    <vt:lpwstr>qOdh6Onwfwbro6QRVslgjnQU7wsyh0Dcd4XrG5wV2SotIojrDon676x6mVt
fWwSm3zp7l/xcvLKmtE8uzPiIBY8O9ANOJlaUT9z37eRbKCZ</vt:lpwstr>
  </property>
  <property fmtid="{D5CDD505-2E9C-101B-9397-08002B2CF9AE}" pid="4" name="RESPONSE_SENDER_NAME">
    <vt:lpwstr>gAAAdya76B99d4hLGUR1rQ+8TxTv0GGEPdix</vt:lpwstr>
  </property>
  <property fmtid="{D5CDD505-2E9C-101B-9397-08002B2CF9AE}" pid="5" name="EMAIL_OWNER_ADDRESS">
    <vt:lpwstr>ABAAgoCixPcRe8mgHlP4vtiWfGElRbX/Lu5+OHmkgcdcyW90tlDM7FywRhkE1JV36Yoq</vt:lpwstr>
  </property>
  <property fmtid="{D5CDD505-2E9C-101B-9397-08002B2CF9AE}" pid="6" name="WS_TRACKING_ID">
    <vt:lpwstr>364f0025-e19f-4c75-8d54-6738aea27e13</vt:lpwstr>
  </property>
</Properties>
</file>